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BD02C4" w14:textId="473875AA" w:rsidR="00562400" w:rsidRPr="00562400" w:rsidRDefault="00562400" w:rsidP="00562400">
      <w:pPr>
        <w:tabs>
          <w:tab w:val="center" w:pos="4536"/>
          <w:tab w:val="right" w:pos="8280"/>
          <w:tab w:val="right" w:pos="9781"/>
        </w:tabs>
        <w:ind w:right="-58"/>
        <w:rPr>
          <w:rFonts w:ascii="Arial" w:hAnsi="Arial" w:cs="Arial"/>
          <w:b/>
          <w:bCs/>
          <w:sz w:val="28"/>
        </w:rPr>
      </w:pPr>
      <w:r w:rsidRPr="00562400">
        <w:rPr>
          <w:rFonts w:ascii="Arial" w:hAnsi="Arial" w:cs="Arial"/>
          <w:b/>
          <w:bCs/>
          <w:sz w:val="28"/>
        </w:rPr>
        <w:t>3GPP TSG RAN WG1 Meeting #</w:t>
      </w:r>
      <w:r w:rsidRPr="00562400">
        <w:rPr>
          <w:rFonts w:ascii="Arial" w:eastAsia="MS Mincho" w:hAnsi="Arial" w:cs="Arial"/>
          <w:b/>
          <w:bCs/>
          <w:sz w:val="28"/>
          <w:lang w:eastAsia="ja-JP"/>
        </w:rPr>
        <w:t>90</w:t>
      </w:r>
      <w:r w:rsidRPr="00562400">
        <w:rPr>
          <w:rFonts w:ascii="Arial" w:hAnsi="Arial" w:cs="Arial"/>
          <w:b/>
          <w:bCs/>
          <w:sz w:val="28"/>
        </w:rPr>
        <w:t xml:space="preserve">               </w:t>
      </w:r>
      <w:r w:rsidRPr="00562400">
        <w:rPr>
          <w:rFonts w:ascii="Arial" w:eastAsia="MS Mincho" w:hAnsi="Arial" w:cs="Arial"/>
          <w:b/>
          <w:bCs/>
          <w:sz w:val="28"/>
          <w:lang w:eastAsia="ja-JP"/>
        </w:rPr>
        <w:t xml:space="preserve">                            </w:t>
      </w:r>
      <w:r w:rsidRPr="00562400">
        <w:rPr>
          <w:rFonts w:ascii="Arial" w:hAnsi="Arial" w:cs="Arial"/>
          <w:b/>
          <w:bCs/>
          <w:sz w:val="28"/>
        </w:rPr>
        <w:tab/>
      </w:r>
      <w:r w:rsidR="000F731E" w:rsidRPr="000F731E">
        <w:rPr>
          <w:rFonts w:ascii="Arial" w:hAnsi="Arial" w:cs="Arial"/>
          <w:b/>
          <w:bCs/>
          <w:sz w:val="28"/>
        </w:rPr>
        <w:t>R1-1712771</w:t>
      </w:r>
      <w:bookmarkStart w:id="0" w:name="_GoBack"/>
      <w:bookmarkEnd w:id="0"/>
    </w:p>
    <w:p w14:paraId="2B20131D" w14:textId="77777777" w:rsidR="00562400" w:rsidRPr="00562400" w:rsidRDefault="00562400" w:rsidP="00562400">
      <w:pPr>
        <w:tabs>
          <w:tab w:val="center" w:pos="4536"/>
          <w:tab w:val="right" w:pos="9072"/>
        </w:tabs>
        <w:rPr>
          <w:rFonts w:ascii="Arial" w:eastAsia="MS Mincho" w:hAnsi="Arial" w:cs="Arial"/>
          <w:b/>
          <w:bCs/>
          <w:sz w:val="28"/>
          <w:lang w:eastAsia="ja-JP"/>
        </w:rPr>
      </w:pPr>
      <w:r w:rsidRPr="00562400">
        <w:rPr>
          <w:rFonts w:ascii="Arial" w:eastAsia="MS Mincho" w:hAnsi="Arial" w:cs="Arial"/>
          <w:b/>
          <w:bCs/>
          <w:sz w:val="28"/>
          <w:lang w:eastAsia="ja-JP"/>
        </w:rPr>
        <w:t>Prague</w:t>
      </w:r>
      <w:r w:rsidRPr="00562400">
        <w:rPr>
          <w:rFonts w:ascii="Arial" w:hAnsi="Arial" w:cs="Arial"/>
          <w:b/>
          <w:bCs/>
          <w:sz w:val="28"/>
        </w:rPr>
        <w:t xml:space="preserve">, </w:t>
      </w:r>
      <w:proofErr w:type="spellStart"/>
      <w:r w:rsidRPr="00562400">
        <w:rPr>
          <w:rFonts w:ascii="Arial" w:eastAsia="MS Mincho" w:hAnsi="Arial" w:cs="Arial"/>
          <w:b/>
          <w:bCs/>
          <w:sz w:val="28"/>
          <w:lang w:eastAsia="ja-JP"/>
        </w:rPr>
        <w:t>Czechia</w:t>
      </w:r>
      <w:proofErr w:type="spellEnd"/>
      <w:r w:rsidRPr="00562400">
        <w:rPr>
          <w:rFonts w:ascii="Arial" w:eastAsia="MS Mincho" w:hAnsi="Arial" w:cs="Arial"/>
          <w:b/>
          <w:bCs/>
          <w:sz w:val="28"/>
          <w:lang w:eastAsia="ja-JP"/>
        </w:rPr>
        <w:t>,</w:t>
      </w:r>
      <w:r w:rsidRPr="00562400">
        <w:rPr>
          <w:rFonts w:ascii="Arial" w:hAnsi="Arial" w:cs="Arial"/>
          <w:b/>
          <w:bCs/>
          <w:sz w:val="28"/>
        </w:rPr>
        <w:t xml:space="preserve"> </w:t>
      </w:r>
      <w:r w:rsidRPr="00562400">
        <w:rPr>
          <w:rFonts w:ascii="Arial" w:eastAsia="MS Mincho" w:hAnsi="Arial" w:cs="Arial"/>
          <w:b/>
          <w:bCs/>
          <w:sz w:val="28"/>
          <w:lang w:eastAsia="ja-JP"/>
        </w:rPr>
        <w:t xml:space="preserve">21th </w:t>
      </w:r>
      <w:r w:rsidRPr="00562400">
        <w:rPr>
          <w:rFonts w:ascii="Arial" w:hAnsi="Arial" w:cs="Arial"/>
          <w:b/>
          <w:bCs/>
          <w:sz w:val="28"/>
        </w:rPr>
        <w:t xml:space="preserve">– </w:t>
      </w:r>
      <w:r w:rsidRPr="00562400">
        <w:rPr>
          <w:rFonts w:ascii="Arial" w:eastAsia="MS Mincho" w:hAnsi="Arial" w:cs="Arial"/>
          <w:b/>
          <w:bCs/>
          <w:sz w:val="28"/>
          <w:lang w:eastAsia="ja-JP"/>
        </w:rPr>
        <w:t>25th</w:t>
      </w:r>
      <w:r w:rsidRPr="00562400">
        <w:rPr>
          <w:rFonts w:ascii="Arial" w:hAnsi="Arial" w:cs="Arial"/>
          <w:b/>
          <w:bCs/>
          <w:sz w:val="28"/>
        </w:rPr>
        <w:t xml:space="preserve"> </w:t>
      </w:r>
      <w:r w:rsidRPr="00562400">
        <w:rPr>
          <w:rFonts w:ascii="Arial" w:eastAsia="MS Mincho" w:hAnsi="Arial" w:cs="Arial"/>
          <w:b/>
          <w:bCs/>
          <w:sz w:val="28"/>
          <w:lang w:eastAsia="ja-JP"/>
        </w:rPr>
        <w:t>August</w:t>
      </w:r>
      <w:r w:rsidRPr="00562400">
        <w:rPr>
          <w:rFonts w:ascii="Arial" w:hAnsi="Arial" w:cs="Arial"/>
          <w:b/>
          <w:bCs/>
          <w:sz w:val="28"/>
        </w:rPr>
        <w:t xml:space="preserve"> 201</w:t>
      </w:r>
      <w:r w:rsidRPr="00562400">
        <w:rPr>
          <w:rFonts w:ascii="Arial" w:eastAsia="MS Mincho" w:hAnsi="Arial" w:cs="Arial"/>
          <w:b/>
          <w:bCs/>
          <w:sz w:val="28"/>
          <w:lang w:eastAsia="ja-JP"/>
        </w:rPr>
        <w:t>7</w:t>
      </w:r>
    </w:p>
    <w:p w14:paraId="2DD42AB3" w14:textId="77777777" w:rsidR="005223FF" w:rsidRPr="00562400" w:rsidRDefault="005223FF" w:rsidP="005223FF">
      <w:pPr>
        <w:wordWrap/>
        <w:overflowPunct w:val="0"/>
        <w:adjustRightInd w:val="0"/>
        <w:textAlignment w:val="baseline"/>
        <w:rPr>
          <w:rFonts w:ascii="Times New Roman" w:eastAsia="Calibri"/>
          <w:b/>
          <w:i/>
          <w:kern w:val="0"/>
          <w:sz w:val="18"/>
          <w:szCs w:val="20"/>
          <w:lang w:eastAsia="en-US"/>
        </w:rPr>
      </w:pPr>
    </w:p>
    <w:p w14:paraId="3F76E0DB" w14:textId="14628B07" w:rsidR="005223FF" w:rsidRPr="00562400"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62400">
        <w:rPr>
          <w:rFonts w:ascii="Arial" w:eastAsia="Calibri" w:hAnsi="Arial" w:cs="Arial"/>
          <w:b/>
          <w:kern w:val="0"/>
          <w:sz w:val="24"/>
          <w:szCs w:val="20"/>
          <w:lang w:eastAsia="en-US"/>
        </w:rPr>
        <w:t>Agenda item:</w:t>
      </w:r>
      <w:r w:rsidRPr="00562400">
        <w:rPr>
          <w:rFonts w:ascii="Arial" w:eastAsia="Calibri" w:hAnsi="Arial" w:cs="Arial"/>
          <w:kern w:val="0"/>
          <w:sz w:val="24"/>
          <w:szCs w:val="20"/>
          <w:lang w:eastAsia="en-US"/>
        </w:rPr>
        <w:tab/>
      </w:r>
      <w:bookmarkStart w:id="1" w:name="Source"/>
      <w:bookmarkEnd w:id="1"/>
      <w:r w:rsidR="00562400" w:rsidRPr="00562400">
        <w:rPr>
          <w:rFonts w:ascii="Arial" w:eastAsia="Calibri" w:hAnsi="Arial" w:cs="Arial"/>
          <w:kern w:val="0"/>
          <w:sz w:val="24"/>
          <w:szCs w:val="20"/>
          <w:lang w:eastAsia="en-US"/>
        </w:rPr>
        <w:t>5.1.7</w:t>
      </w:r>
    </w:p>
    <w:p w14:paraId="4E9D0481" w14:textId="77777777" w:rsidR="005223FF" w:rsidRPr="00562400"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62400">
        <w:rPr>
          <w:rFonts w:ascii="Arial" w:eastAsia="Calibri" w:hAnsi="Arial" w:cs="Arial"/>
          <w:b/>
          <w:kern w:val="0"/>
          <w:sz w:val="24"/>
          <w:szCs w:val="20"/>
          <w:lang w:eastAsia="en-US"/>
        </w:rPr>
        <w:t xml:space="preserve">Source: </w:t>
      </w:r>
      <w:r w:rsidRPr="00562400">
        <w:rPr>
          <w:rFonts w:ascii="Arial" w:eastAsia="Calibri" w:hAnsi="Arial" w:cs="Arial"/>
          <w:b/>
          <w:kern w:val="0"/>
          <w:sz w:val="24"/>
          <w:szCs w:val="20"/>
          <w:lang w:eastAsia="en-US"/>
        </w:rPr>
        <w:tab/>
      </w:r>
      <w:r w:rsidRPr="00562400">
        <w:rPr>
          <w:rFonts w:ascii="Arial" w:eastAsia="Calibri" w:hAnsi="Arial" w:cs="Arial"/>
          <w:kern w:val="0"/>
          <w:sz w:val="24"/>
          <w:szCs w:val="20"/>
          <w:lang w:eastAsia="en-US"/>
        </w:rPr>
        <w:t>Qualcomm Incorporated</w:t>
      </w:r>
    </w:p>
    <w:p w14:paraId="78C2A59F" w14:textId="6988E552" w:rsidR="005223FF" w:rsidRPr="00562400" w:rsidRDefault="005223FF" w:rsidP="005223FF">
      <w:pPr>
        <w:widowControl/>
        <w:wordWrap/>
        <w:overflowPunct w:val="0"/>
        <w:adjustRightInd w:val="0"/>
        <w:spacing w:after="180"/>
        <w:ind w:left="1988" w:hanging="1988"/>
        <w:jc w:val="left"/>
        <w:textAlignment w:val="baseline"/>
        <w:rPr>
          <w:rFonts w:ascii="Arial" w:eastAsia="Calibri" w:hAnsi="Arial" w:cs="Arial"/>
          <w:kern w:val="0"/>
          <w:sz w:val="28"/>
          <w:lang w:eastAsia="en-US"/>
        </w:rPr>
      </w:pPr>
      <w:r w:rsidRPr="00562400">
        <w:rPr>
          <w:rFonts w:ascii="Arial" w:eastAsia="Calibri" w:hAnsi="Arial" w:cs="Arial"/>
          <w:b/>
          <w:kern w:val="0"/>
          <w:sz w:val="24"/>
          <w:szCs w:val="20"/>
          <w:lang w:eastAsia="en-US"/>
        </w:rPr>
        <w:t>Title:</w:t>
      </w:r>
      <w:r w:rsidRPr="00562400">
        <w:rPr>
          <w:rFonts w:ascii="Arial" w:eastAsia="Calibri" w:hAnsi="Arial" w:cs="Arial"/>
          <w:kern w:val="0"/>
          <w:sz w:val="24"/>
          <w:szCs w:val="20"/>
          <w:lang w:eastAsia="en-US"/>
        </w:rPr>
        <w:t xml:space="preserve"> </w:t>
      </w:r>
      <w:r w:rsidRPr="00562400">
        <w:rPr>
          <w:rFonts w:ascii="Arial" w:eastAsia="Calibri" w:hAnsi="Arial" w:cs="Arial"/>
          <w:kern w:val="0"/>
          <w:sz w:val="22"/>
          <w:szCs w:val="20"/>
          <w:lang w:eastAsia="en-US"/>
        </w:rPr>
        <w:tab/>
      </w:r>
      <w:r w:rsidR="00F6178A" w:rsidRPr="00F6178A">
        <w:rPr>
          <w:rFonts w:ascii="Arial" w:eastAsia="Calibri" w:hAnsi="Arial" w:cs="Arial"/>
          <w:kern w:val="0"/>
          <w:sz w:val="24"/>
          <w:szCs w:val="20"/>
          <w:lang w:eastAsia="en-US"/>
        </w:rPr>
        <w:t xml:space="preserve">Discussion on </w:t>
      </w:r>
      <w:r w:rsidR="00125824">
        <w:rPr>
          <w:rFonts w:ascii="Arial" w:eastAsia="Calibri" w:hAnsi="Arial" w:cs="Arial"/>
          <w:kern w:val="0"/>
          <w:sz w:val="24"/>
          <w:szCs w:val="20"/>
          <w:lang w:eastAsia="en-US"/>
        </w:rPr>
        <w:t>issues for SRS Carrier Switching</w:t>
      </w:r>
    </w:p>
    <w:p w14:paraId="5E58C004" w14:textId="77777777" w:rsidR="005223FF" w:rsidRPr="00562400" w:rsidRDefault="005223FF" w:rsidP="005223FF">
      <w:pPr>
        <w:widowControl/>
        <w:wordWrap/>
        <w:overflowPunct w:val="0"/>
        <w:adjustRightInd w:val="0"/>
        <w:spacing w:after="180"/>
        <w:ind w:left="1988" w:hanging="1988"/>
        <w:textAlignment w:val="baseline"/>
        <w:rPr>
          <w:rFonts w:ascii="Arial" w:eastAsia="Calibri" w:hAnsi="Arial" w:cs="Arial"/>
          <w:kern w:val="0"/>
          <w:sz w:val="24"/>
          <w:szCs w:val="20"/>
          <w:lang w:eastAsia="en-US"/>
        </w:rPr>
      </w:pPr>
      <w:r w:rsidRPr="00562400">
        <w:rPr>
          <w:rFonts w:ascii="Arial" w:eastAsia="Calibri" w:hAnsi="Arial" w:cs="Arial"/>
          <w:b/>
          <w:kern w:val="0"/>
          <w:sz w:val="24"/>
          <w:szCs w:val="20"/>
          <w:lang w:eastAsia="en-US"/>
        </w:rPr>
        <w:t>Document for:</w:t>
      </w:r>
      <w:r w:rsidRPr="00562400">
        <w:rPr>
          <w:rFonts w:ascii="Arial" w:eastAsia="Calibri" w:hAnsi="Arial" w:cs="Arial"/>
          <w:kern w:val="0"/>
          <w:sz w:val="24"/>
          <w:szCs w:val="20"/>
          <w:lang w:eastAsia="en-US"/>
        </w:rPr>
        <w:tab/>
      </w:r>
      <w:bookmarkStart w:id="2" w:name="DocumentFor"/>
      <w:bookmarkEnd w:id="2"/>
      <w:r w:rsidRPr="00562400">
        <w:rPr>
          <w:rFonts w:ascii="Arial" w:eastAsia="Calibri" w:hAnsi="Arial" w:cs="Arial"/>
          <w:kern w:val="0"/>
          <w:sz w:val="24"/>
          <w:szCs w:val="20"/>
          <w:lang w:eastAsia="en-US"/>
        </w:rPr>
        <w:t>Discussion/Decision</w:t>
      </w:r>
    </w:p>
    <w:p w14:paraId="26F4A535" w14:textId="77777777" w:rsidR="005223FF" w:rsidRPr="00562400" w:rsidRDefault="005223FF" w:rsidP="005223FF"/>
    <w:p w14:paraId="11D71509" w14:textId="3589B45E" w:rsidR="005223FF" w:rsidRDefault="00F6178A" w:rsidP="005223FF">
      <w:pPr>
        <w:pStyle w:val="Heading1"/>
        <w:rPr>
          <w:lang w:val="en-US"/>
        </w:rPr>
      </w:pPr>
      <w:r>
        <w:rPr>
          <w:lang w:val="en-US"/>
        </w:rPr>
        <w:t>Background</w:t>
      </w:r>
    </w:p>
    <w:p w14:paraId="7ED95901" w14:textId="658806AE" w:rsidR="00F6178A" w:rsidRDefault="00F6178A" w:rsidP="00F6178A">
      <w:pPr>
        <w:rPr>
          <w:lang w:eastAsia="en-US"/>
        </w:rPr>
      </w:pPr>
    </w:p>
    <w:p w14:paraId="7BCF39D0" w14:textId="3F102236" w:rsidR="00125824" w:rsidRDefault="00125824" w:rsidP="00562400">
      <w:pPr>
        <w:rPr>
          <w:rFonts w:ascii="Times New Roman"/>
          <w:sz w:val="22"/>
          <w:szCs w:val="22"/>
        </w:rPr>
      </w:pPr>
      <w:r>
        <w:rPr>
          <w:rFonts w:ascii="Times New Roman"/>
          <w:sz w:val="22"/>
          <w:szCs w:val="22"/>
        </w:rPr>
        <w:t xml:space="preserve">In Rel-14, SRS Carrier based switching was introduce to enable UEs to sound (transmit SRS) in CC for which the UE is not configured with UL CA. The typical operation implies an interruption of transmission in the </w:t>
      </w:r>
      <w:r>
        <w:rPr>
          <w:rFonts w:ascii="Times New Roman"/>
          <w:i/>
          <w:sz w:val="22"/>
          <w:szCs w:val="22"/>
        </w:rPr>
        <w:t>source carrier</w:t>
      </w:r>
      <w:r>
        <w:rPr>
          <w:rFonts w:ascii="Times New Roman"/>
          <w:sz w:val="22"/>
          <w:szCs w:val="22"/>
        </w:rPr>
        <w:t xml:space="preserve"> CC1, </w:t>
      </w:r>
      <w:proofErr w:type="spellStart"/>
      <w:r>
        <w:rPr>
          <w:rFonts w:ascii="Times New Roman"/>
          <w:sz w:val="22"/>
          <w:szCs w:val="22"/>
        </w:rPr>
        <w:t>retuning</w:t>
      </w:r>
      <w:proofErr w:type="spellEnd"/>
      <w:r>
        <w:rPr>
          <w:rFonts w:ascii="Times New Roman"/>
          <w:sz w:val="22"/>
          <w:szCs w:val="22"/>
        </w:rPr>
        <w:t xml:space="preserve"> to the </w:t>
      </w:r>
      <w:r>
        <w:rPr>
          <w:rFonts w:ascii="Times New Roman"/>
          <w:i/>
          <w:sz w:val="22"/>
          <w:szCs w:val="22"/>
        </w:rPr>
        <w:t>target carrier</w:t>
      </w:r>
      <w:r>
        <w:rPr>
          <w:rFonts w:ascii="Times New Roman"/>
          <w:sz w:val="22"/>
          <w:szCs w:val="22"/>
        </w:rPr>
        <w:t xml:space="preserve"> CC2, transmitting SRS in CC2, and retuning back to CC1.</w:t>
      </w:r>
    </w:p>
    <w:p w14:paraId="68FD4ADB" w14:textId="1A824101" w:rsidR="00125824" w:rsidRDefault="00125824" w:rsidP="00562400">
      <w:pPr>
        <w:rPr>
          <w:rFonts w:ascii="Times New Roman"/>
          <w:sz w:val="22"/>
          <w:szCs w:val="22"/>
        </w:rPr>
      </w:pPr>
    </w:p>
    <w:p w14:paraId="120484C7" w14:textId="037E4AEF" w:rsidR="00125824" w:rsidRPr="00125824" w:rsidRDefault="00125824" w:rsidP="00562400">
      <w:pPr>
        <w:rPr>
          <w:rFonts w:ascii="Times New Roman"/>
          <w:sz w:val="22"/>
          <w:szCs w:val="22"/>
        </w:rPr>
      </w:pPr>
      <w:r>
        <w:rPr>
          <w:rFonts w:ascii="Times New Roman"/>
          <w:sz w:val="22"/>
          <w:szCs w:val="22"/>
        </w:rPr>
        <w:t xml:space="preserve">During the Rel-14 WI, it was usually assumed that the operation of </w:t>
      </w:r>
      <w:r>
        <w:rPr>
          <w:rFonts w:ascii="Times New Roman"/>
          <w:i/>
          <w:sz w:val="22"/>
          <w:szCs w:val="22"/>
        </w:rPr>
        <w:t>switching</w:t>
      </w:r>
      <w:r>
        <w:rPr>
          <w:rFonts w:ascii="Times New Roman"/>
          <w:sz w:val="22"/>
          <w:szCs w:val="22"/>
        </w:rPr>
        <w:t xml:space="preserve"> is independent among carriers. For example, if we are configured with CC1/CC2 in UL CA, we can switch CC1</w:t>
      </w:r>
      <w:r w:rsidRPr="00125824">
        <w:rPr>
          <w:rFonts w:ascii="Times New Roman"/>
          <w:sz w:val="22"/>
          <w:szCs w:val="22"/>
        </w:rPr>
        <w:sym w:font="Wingdings" w:char="F0E8"/>
      </w:r>
      <w:r>
        <w:rPr>
          <w:rFonts w:ascii="Times New Roman"/>
          <w:sz w:val="22"/>
          <w:szCs w:val="22"/>
        </w:rPr>
        <w:t>CC3 without affecting the transmission of CC2. In this contribution, we show some examples on which this independence does not hold, and propose some potential solutions to the RAN1 specification to cover this problem.</w:t>
      </w:r>
    </w:p>
    <w:p w14:paraId="0E5E5287" w14:textId="6F68F7A1" w:rsidR="00125824" w:rsidRDefault="00125824" w:rsidP="00562400">
      <w:pPr>
        <w:rPr>
          <w:rFonts w:ascii="Times New Roman"/>
          <w:sz w:val="22"/>
          <w:szCs w:val="22"/>
        </w:rPr>
      </w:pPr>
    </w:p>
    <w:p w14:paraId="28F0D4CD" w14:textId="59B5230E" w:rsidR="00125824" w:rsidRDefault="00125824" w:rsidP="00562400">
      <w:pPr>
        <w:rPr>
          <w:rFonts w:ascii="Times New Roman"/>
          <w:sz w:val="22"/>
          <w:szCs w:val="22"/>
        </w:rPr>
      </w:pPr>
    </w:p>
    <w:p w14:paraId="33BA0E57" w14:textId="6B67E001" w:rsidR="00125824" w:rsidRDefault="00125824" w:rsidP="00125824">
      <w:pPr>
        <w:pStyle w:val="Heading1"/>
        <w:rPr>
          <w:lang w:val="en-US"/>
        </w:rPr>
      </w:pPr>
      <w:r>
        <w:rPr>
          <w:lang w:val="en-US"/>
        </w:rPr>
        <w:t>Shared RF architecture</w:t>
      </w:r>
    </w:p>
    <w:p w14:paraId="4BAD2479" w14:textId="7A70AA33" w:rsidR="00B75D36" w:rsidRPr="00125824" w:rsidRDefault="00125824" w:rsidP="00125824">
      <w:pPr>
        <w:rPr>
          <w:rFonts w:ascii="Times New Roman"/>
          <w:sz w:val="22"/>
          <w:szCs w:val="22"/>
        </w:rPr>
      </w:pPr>
      <w:r w:rsidRPr="00125824">
        <w:rPr>
          <w:rFonts w:ascii="Times New Roman"/>
          <w:sz w:val="22"/>
          <w:szCs w:val="22"/>
        </w:rPr>
        <w:t>During the WI phase, the architecture assumed in RAN1 is the one shown in Figure 1. In this architecture, the differe</w:t>
      </w:r>
      <w:r>
        <w:rPr>
          <w:rFonts w:ascii="Times New Roman"/>
          <w:sz w:val="22"/>
          <w:szCs w:val="22"/>
        </w:rPr>
        <w:t>nt CCs have separate PA, and switching CC1 to a different frequency implies changing the settings of the PA and retuning the LO to a new frequency. Note that under this architecture, CC2 transmission remains unaffected.</w:t>
      </w:r>
    </w:p>
    <w:p w14:paraId="5F9B6377" w14:textId="0A8CBA6D" w:rsidR="00125824" w:rsidRDefault="00125824" w:rsidP="00B75D36">
      <w:pPr>
        <w:overflowPunct w:val="0"/>
        <w:adjustRightInd w:val="0"/>
        <w:spacing w:after="180"/>
        <w:rPr>
          <w:rFonts w:ascii="Times New Roman" w:eastAsia="Malgun Gothic"/>
          <w:szCs w:val="20"/>
          <w:lang w:val="en-GB" w:eastAsia="en-GB"/>
        </w:rPr>
      </w:pPr>
    </w:p>
    <w:p w14:paraId="35943359" w14:textId="5EA73A51" w:rsidR="00125824" w:rsidRDefault="00125824" w:rsidP="00125824">
      <w:pPr>
        <w:keepNext/>
        <w:overflowPunct w:val="0"/>
        <w:adjustRightInd w:val="0"/>
        <w:spacing w:after="180"/>
        <w:jc w:val="center"/>
      </w:pPr>
      <w:r w:rsidRPr="00125824">
        <w:rPr>
          <w:rFonts w:ascii="Times New Roman" w:eastAsia="Malgun Gothic"/>
          <w:szCs w:val="20"/>
          <w:lang w:eastAsia="en-GB"/>
        </w:rPr>
        <w:object w:dxaOrig="5025" w:dyaOrig="6550" w14:anchorId="64646C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9pt;height:202.85pt" o:ole="">
            <v:imagedata r:id="rId14" o:title=""/>
          </v:shape>
          <o:OLEObject Type="Embed" ProgID="Visio.Drawing.11" ShapeID="_x0000_i1025" DrawAspect="Content" ObjectID="_1563977937" r:id="rId15"/>
        </w:object>
      </w:r>
    </w:p>
    <w:p w14:paraId="53D896F4" w14:textId="02A9210A" w:rsidR="00125824" w:rsidRDefault="00125824" w:rsidP="00125824">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Separate PA for CC1 and CC2</w:t>
      </w:r>
    </w:p>
    <w:p w14:paraId="64EC05CA" w14:textId="06C5146F" w:rsidR="00125824" w:rsidRDefault="00125824" w:rsidP="00125824">
      <w:pPr>
        <w:rPr>
          <w:lang w:val="en-GB" w:eastAsia="en-US"/>
        </w:rPr>
      </w:pPr>
    </w:p>
    <w:p w14:paraId="51AD97C7" w14:textId="6B92D550" w:rsidR="00125824" w:rsidRDefault="00125824" w:rsidP="00125824">
      <w:pPr>
        <w:rPr>
          <w:lang w:val="en-GB" w:eastAsia="en-US"/>
        </w:rPr>
      </w:pPr>
    </w:p>
    <w:p w14:paraId="7B0E5917" w14:textId="62F5FA80" w:rsidR="00125824" w:rsidRDefault="00125824" w:rsidP="00125824">
      <w:pPr>
        <w:rPr>
          <w:lang w:val="en-GB" w:eastAsia="en-US"/>
        </w:rPr>
      </w:pPr>
    </w:p>
    <w:p w14:paraId="59CFFE60" w14:textId="4AB247C1" w:rsidR="00125824" w:rsidRPr="006C501B" w:rsidRDefault="00125824" w:rsidP="00125824">
      <w:r>
        <w:rPr>
          <w:rFonts w:ascii="Times New Roman"/>
          <w:sz w:val="22"/>
          <w:szCs w:val="22"/>
        </w:rPr>
        <w:t xml:space="preserve">In some other cases, however, the PA may be shared among different CCs. One particular case of interest for this architecture is that of intra-band contiguous UL CA, in which the UE will generate a wideband signal that will be upconverted and amplified </w:t>
      </w:r>
      <w:r w:rsidR="006C501B">
        <w:rPr>
          <w:rFonts w:ascii="Times New Roman"/>
          <w:sz w:val="22"/>
          <w:szCs w:val="22"/>
        </w:rPr>
        <w:t>together</w:t>
      </w:r>
      <w:r>
        <w:rPr>
          <w:rFonts w:ascii="Times New Roman"/>
          <w:sz w:val="22"/>
          <w:szCs w:val="22"/>
        </w:rPr>
        <w:t xml:space="preserve">. Note that the requirements for </w:t>
      </w:r>
      <w:proofErr w:type="spellStart"/>
      <w:r>
        <w:rPr>
          <w:rFonts w:ascii="Times New Roman"/>
          <w:sz w:val="22"/>
          <w:szCs w:val="22"/>
        </w:rPr>
        <w:t>intraband</w:t>
      </w:r>
      <w:proofErr w:type="spellEnd"/>
      <w:r>
        <w:rPr>
          <w:rFonts w:ascii="Times New Roman"/>
          <w:sz w:val="22"/>
          <w:szCs w:val="22"/>
        </w:rPr>
        <w:t xml:space="preserve"> UL CA were </w:t>
      </w:r>
      <w:r w:rsidR="006C501B">
        <w:rPr>
          <w:rFonts w:ascii="Times New Roman"/>
          <w:sz w:val="22"/>
          <w:szCs w:val="22"/>
        </w:rPr>
        <w:t>obtained</w:t>
      </w:r>
      <w:r>
        <w:rPr>
          <w:rFonts w:ascii="Times New Roman"/>
          <w:sz w:val="22"/>
          <w:szCs w:val="22"/>
        </w:rPr>
        <w:t xml:space="preserve"> in RAN4 based on this single PA architecture. Under this architecture, the </w:t>
      </w:r>
      <w:r>
        <w:rPr>
          <w:rFonts w:ascii="Times New Roman"/>
          <w:i/>
          <w:sz w:val="22"/>
          <w:szCs w:val="22"/>
        </w:rPr>
        <w:t>switching</w:t>
      </w:r>
      <w:r>
        <w:rPr>
          <w:rFonts w:ascii="Times New Roman"/>
          <w:sz w:val="22"/>
          <w:szCs w:val="22"/>
        </w:rPr>
        <w:t xml:space="preserve"> of CC1 to CC3 would also affect the transmission of CC2, since they are sharing the same PA.</w:t>
      </w:r>
      <w:r w:rsidR="006C501B">
        <w:rPr>
          <w:rFonts w:ascii="Times New Roman"/>
          <w:sz w:val="22"/>
          <w:szCs w:val="22"/>
        </w:rPr>
        <w:t xml:space="preserve"> We denote CC2 as a </w:t>
      </w:r>
      <w:r w:rsidR="006C501B">
        <w:rPr>
          <w:rFonts w:ascii="Times New Roman"/>
          <w:i/>
          <w:sz w:val="22"/>
          <w:szCs w:val="22"/>
        </w:rPr>
        <w:t>victim</w:t>
      </w:r>
      <w:r w:rsidR="006C501B">
        <w:rPr>
          <w:rFonts w:ascii="Times New Roman"/>
          <w:sz w:val="22"/>
          <w:szCs w:val="22"/>
        </w:rPr>
        <w:t xml:space="preserve"> carrier of the switching from CC1 to CC3.</w:t>
      </w:r>
    </w:p>
    <w:p w14:paraId="50EC26E0" w14:textId="4236979A" w:rsidR="00125824" w:rsidRDefault="00125824" w:rsidP="00125824">
      <w:pPr>
        <w:rPr>
          <w:rFonts w:ascii="Times New Roman"/>
          <w:sz w:val="22"/>
          <w:szCs w:val="22"/>
        </w:rPr>
      </w:pPr>
    </w:p>
    <w:p w14:paraId="4FC35043" w14:textId="77777777" w:rsidR="00125824" w:rsidRDefault="00125824" w:rsidP="00125824">
      <w:pPr>
        <w:keepNext/>
        <w:jc w:val="center"/>
      </w:pPr>
      <w:r w:rsidRPr="00125824">
        <w:rPr>
          <w:rFonts w:ascii="Times New Roman"/>
          <w:sz w:val="22"/>
          <w:szCs w:val="22"/>
        </w:rPr>
        <w:object w:dxaOrig="5131" w:dyaOrig="3626" w14:anchorId="018DDD46">
          <v:shape id="_x0000_i1026" type="#_x0000_t75" style="width:256.7pt;height:181.55pt" o:ole="">
            <v:imagedata r:id="rId16" o:title=""/>
          </v:shape>
          <o:OLEObject Type="Embed" ProgID="Visio.Drawing.11" ShapeID="_x0000_i1026" DrawAspect="Content" ObjectID="_1563977938" r:id="rId17"/>
        </w:object>
      </w:r>
    </w:p>
    <w:p w14:paraId="4362C749" w14:textId="1115CD97" w:rsidR="00125824" w:rsidRPr="00125824" w:rsidRDefault="00125824" w:rsidP="00125824">
      <w:pPr>
        <w:pStyle w:val="Caption"/>
        <w:jc w:val="center"/>
        <w:rPr>
          <w:sz w:val="22"/>
          <w:szCs w:val="22"/>
          <w:lang w:val="en-US" w:eastAsia="ko-KR"/>
        </w:rPr>
      </w:pPr>
      <w:r>
        <w:t xml:space="preserve">Figure </w:t>
      </w:r>
      <w:r>
        <w:fldChar w:fldCharType="begin"/>
      </w:r>
      <w:r>
        <w:instrText xml:space="preserve"> SEQ Figure \* ARABIC </w:instrText>
      </w:r>
      <w:r>
        <w:fldChar w:fldCharType="separate"/>
      </w:r>
      <w:r>
        <w:rPr>
          <w:noProof/>
        </w:rPr>
        <w:t>2</w:t>
      </w:r>
      <w:r>
        <w:fldChar w:fldCharType="end"/>
      </w:r>
      <w:r>
        <w:t xml:space="preserve"> Same PA for CC1/CC2</w:t>
      </w:r>
    </w:p>
    <w:p w14:paraId="1D116B54" w14:textId="77777777" w:rsidR="00125824" w:rsidRDefault="00125824" w:rsidP="00125824">
      <w:pPr>
        <w:rPr>
          <w:rFonts w:ascii="Times New Roman"/>
          <w:b/>
          <w:sz w:val="22"/>
          <w:szCs w:val="22"/>
          <w:u w:val="single"/>
        </w:rPr>
      </w:pPr>
    </w:p>
    <w:p w14:paraId="1197F3BE" w14:textId="0CEB8F77" w:rsidR="00125824" w:rsidRDefault="00125824" w:rsidP="00125824">
      <w:pPr>
        <w:rPr>
          <w:rFonts w:ascii="Times New Roman"/>
          <w:b/>
          <w:sz w:val="22"/>
          <w:szCs w:val="22"/>
        </w:rPr>
      </w:pPr>
      <w:r w:rsidRPr="00125824">
        <w:rPr>
          <w:rFonts w:ascii="Times New Roman"/>
          <w:b/>
          <w:sz w:val="22"/>
          <w:szCs w:val="22"/>
          <w:u w:val="single"/>
        </w:rPr>
        <w:t>Observation 1:</w:t>
      </w:r>
      <w:r>
        <w:rPr>
          <w:rFonts w:ascii="Times New Roman"/>
          <w:b/>
          <w:sz w:val="22"/>
          <w:szCs w:val="22"/>
        </w:rPr>
        <w:t xml:space="preserve"> For some cases (especially for intra-band UL CA) the PA is shared among different CC.</w:t>
      </w:r>
    </w:p>
    <w:p w14:paraId="43EB909C" w14:textId="77777777" w:rsidR="00125824" w:rsidRDefault="00125824" w:rsidP="00125824">
      <w:pPr>
        <w:rPr>
          <w:rFonts w:ascii="Times New Roman"/>
          <w:b/>
          <w:sz w:val="22"/>
          <w:szCs w:val="22"/>
        </w:rPr>
      </w:pPr>
    </w:p>
    <w:p w14:paraId="2316469A" w14:textId="3BEBD34D" w:rsidR="00125824" w:rsidRDefault="00125824" w:rsidP="00125824">
      <w:pPr>
        <w:rPr>
          <w:rFonts w:ascii="Times New Roman"/>
          <w:b/>
          <w:sz w:val="22"/>
          <w:szCs w:val="22"/>
        </w:rPr>
      </w:pPr>
      <w:r w:rsidRPr="00125824">
        <w:rPr>
          <w:rFonts w:ascii="Times New Roman"/>
          <w:b/>
          <w:sz w:val="22"/>
          <w:szCs w:val="22"/>
          <w:u w:val="single"/>
        </w:rPr>
        <w:t>Observation 2</w:t>
      </w:r>
      <w:r>
        <w:rPr>
          <w:rFonts w:ascii="Times New Roman"/>
          <w:b/>
          <w:sz w:val="22"/>
          <w:szCs w:val="22"/>
          <w:u w:val="single"/>
        </w:rPr>
        <w:t xml:space="preserve">: </w:t>
      </w:r>
      <w:r>
        <w:rPr>
          <w:rFonts w:ascii="Times New Roman"/>
          <w:b/>
          <w:sz w:val="22"/>
          <w:szCs w:val="22"/>
        </w:rPr>
        <w:t>If two carriers (CC1 and CC2) share the same PA, switching from CC1 to transmit SRS in CC3 will create interruption in CC2</w:t>
      </w:r>
      <w:r w:rsidR="006C501B">
        <w:rPr>
          <w:rFonts w:ascii="Times New Roman"/>
          <w:b/>
          <w:sz w:val="22"/>
          <w:szCs w:val="22"/>
        </w:rPr>
        <w:t>.</w:t>
      </w:r>
    </w:p>
    <w:p w14:paraId="4F3828C5" w14:textId="1F310EDD" w:rsidR="00125824" w:rsidRDefault="00125824" w:rsidP="00125824">
      <w:pPr>
        <w:rPr>
          <w:rFonts w:ascii="Times New Roman"/>
          <w:b/>
          <w:sz w:val="22"/>
          <w:szCs w:val="22"/>
        </w:rPr>
      </w:pPr>
    </w:p>
    <w:p w14:paraId="0DE942C8" w14:textId="74DABC58" w:rsidR="00125824" w:rsidRDefault="00125824" w:rsidP="00125824">
      <w:pPr>
        <w:pStyle w:val="Heading1"/>
        <w:rPr>
          <w:lang w:val="en-US"/>
        </w:rPr>
      </w:pPr>
      <w:r>
        <w:rPr>
          <w:lang w:val="en-US"/>
        </w:rPr>
        <w:t>Possible solutions</w:t>
      </w:r>
    </w:p>
    <w:p w14:paraId="7BB50ACF" w14:textId="50DC5544" w:rsidR="003254C3" w:rsidRDefault="00125824" w:rsidP="003254C3">
      <w:pPr>
        <w:rPr>
          <w:rFonts w:ascii="Times New Roman"/>
          <w:sz w:val="22"/>
          <w:szCs w:val="22"/>
        </w:rPr>
      </w:pPr>
      <w:r>
        <w:rPr>
          <w:rFonts w:ascii="Times New Roman"/>
          <w:sz w:val="22"/>
          <w:szCs w:val="22"/>
        </w:rPr>
        <w:t xml:space="preserve">The current specification does not </w:t>
      </w:r>
      <w:r w:rsidR="003254C3">
        <w:rPr>
          <w:rFonts w:ascii="Times New Roman"/>
          <w:sz w:val="22"/>
          <w:szCs w:val="22"/>
        </w:rPr>
        <w:t xml:space="preserve">capture the </w:t>
      </w:r>
      <w:r w:rsidR="006C501B">
        <w:rPr>
          <w:rFonts w:ascii="Times New Roman"/>
          <w:sz w:val="22"/>
          <w:szCs w:val="22"/>
        </w:rPr>
        <w:t>impact</w:t>
      </w:r>
      <w:r w:rsidR="003254C3">
        <w:rPr>
          <w:rFonts w:ascii="Times New Roman"/>
          <w:sz w:val="22"/>
          <w:szCs w:val="22"/>
        </w:rPr>
        <w:t xml:space="preserve"> of shared PA in SRS switching. In the following, we propose a few solutions for this problem.</w:t>
      </w:r>
    </w:p>
    <w:p w14:paraId="4165F819" w14:textId="5E2A63F7" w:rsidR="003254C3" w:rsidRDefault="003254C3" w:rsidP="003254C3">
      <w:pPr>
        <w:rPr>
          <w:rFonts w:ascii="Times New Roman"/>
          <w:sz w:val="22"/>
          <w:szCs w:val="22"/>
        </w:rPr>
      </w:pPr>
    </w:p>
    <w:p w14:paraId="1B49E07C" w14:textId="4A59B9EE" w:rsidR="003254C3" w:rsidRDefault="003254C3" w:rsidP="003254C3">
      <w:pPr>
        <w:pStyle w:val="Heading3"/>
        <w:numPr>
          <w:ilvl w:val="1"/>
          <w:numId w:val="1"/>
        </w:numPr>
      </w:pPr>
      <w:r>
        <w:t>Identification of affected band combinations</w:t>
      </w:r>
    </w:p>
    <w:p w14:paraId="6F3EC92F" w14:textId="68C2B846" w:rsidR="003254C3" w:rsidRDefault="003254C3" w:rsidP="003254C3">
      <w:pPr>
        <w:rPr>
          <w:rFonts w:ascii="Times New Roman"/>
          <w:sz w:val="22"/>
          <w:szCs w:val="22"/>
        </w:rPr>
      </w:pPr>
      <w:r>
        <w:rPr>
          <w:rFonts w:ascii="Times New Roman"/>
          <w:sz w:val="22"/>
          <w:szCs w:val="22"/>
        </w:rPr>
        <w:t>The first step in determining a solution is to identify the band combinations in which this issue will happen. This identification can be:</w:t>
      </w:r>
    </w:p>
    <w:p w14:paraId="11245556" w14:textId="72B00086" w:rsidR="003254C3" w:rsidRPr="003254C3" w:rsidRDefault="003254C3" w:rsidP="003254C3">
      <w:pPr>
        <w:pStyle w:val="ListParagraph"/>
        <w:numPr>
          <w:ilvl w:val="0"/>
          <w:numId w:val="38"/>
        </w:numPr>
        <w:ind w:leftChars="0"/>
        <w:rPr>
          <w:rFonts w:ascii="Times New Roman" w:eastAsia="Batang" w:hAnsi="Times New Roman" w:cs="Times New Roman"/>
          <w:b/>
          <w:kern w:val="2"/>
          <w:sz w:val="22"/>
          <w:szCs w:val="22"/>
          <w:u w:val="single"/>
        </w:rPr>
      </w:pPr>
      <w:r w:rsidRPr="003254C3">
        <w:rPr>
          <w:rFonts w:ascii="Times New Roman" w:eastAsia="Batang" w:hAnsi="Times New Roman" w:cs="Times New Roman"/>
          <w:b/>
          <w:kern w:val="2"/>
          <w:sz w:val="22"/>
          <w:szCs w:val="22"/>
          <w:u w:val="single"/>
        </w:rPr>
        <w:t>Implicit:</w:t>
      </w:r>
      <w:r>
        <w:rPr>
          <w:rFonts w:ascii="Times New Roman" w:eastAsia="Batang" w:hAnsi="Times New Roman" w:cs="Times New Roman"/>
          <w:kern w:val="2"/>
          <w:sz w:val="22"/>
          <w:szCs w:val="22"/>
        </w:rPr>
        <w:t xml:space="preserve"> For example, for intra-band CA it can be assumed that the CC share the same PA.</w:t>
      </w:r>
    </w:p>
    <w:p w14:paraId="6511018C" w14:textId="6E8DB120" w:rsidR="003254C3" w:rsidRPr="003254C3" w:rsidRDefault="003254C3" w:rsidP="003254C3">
      <w:pPr>
        <w:pStyle w:val="ListParagraph"/>
        <w:numPr>
          <w:ilvl w:val="0"/>
          <w:numId w:val="38"/>
        </w:numPr>
        <w:ind w:leftChars="0"/>
        <w:rPr>
          <w:rFonts w:ascii="Times New Roman" w:eastAsia="Batang" w:hAnsi="Times New Roman" w:cs="Times New Roman"/>
          <w:b/>
          <w:kern w:val="2"/>
          <w:sz w:val="22"/>
          <w:szCs w:val="22"/>
          <w:u w:val="single"/>
        </w:rPr>
      </w:pPr>
      <w:r>
        <w:rPr>
          <w:rFonts w:ascii="Times New Roman" w:eastAsia="Batang" w:hAnsi="Times New Roman" w:cs="Times New Roman"/>
          <w:b/>
          <w:kern w:val="2"/>
          <w:sz w:val="22"/>
          <w:szCs w:val="22"/>
          <w:u w:val="single"/>
        </w:rPr>
        <w:t>Explicit:</w:t>
      </w:r>
      <w:r>
        <w:rPr>
          <w:rFonts w:ascii="Times New Roman" w:eastAsia="Batang" w:hAnsi="Times New Roman" w:cs="Times New Roman"/>
          <w:kern w:val="2"/>
          <w:sz w:val="22"/>
          <w:szCs w:val="22"/>
        </w:rPr>
        <w:t xml:space="preserve"> For each band combination, the UE indicates which bands share the same PA.</w:t>
      </w:r>
    </w:p>
    <w:p w14:paraId="4CD11993" w14:textId="1A741F1C" w:rsidR="003254C3" w:rsidRDefault="003254C3" w:rsidP="003254C3">
      <w:pPr>
        <w:rPr>
          <w:rFonts w:ascii="Times New Roman"/>
          <w:b/>
          <w:sz w:val="22"/>
          <w:szCs w:val="22"/>
          <w:u w:val="single"/>
        </w:rPr>
      </w:pPr>
    </w:p>
    <w:p w14:paraId="73DA3828" w14:textId="28AC6CDA" w:rsidR="003254C3" w:rsidRDefault="003254C3" w:rsidP="003254C3">
      <w:pPr>
        <w:rPr>
          <w:rFonts w:ascii="Times New Roman"/>
          <w:sz w:val="22"/>
          <w:szCs w:val="22"/>
        </w:rPr>
      </w:pPr>
      <w:r w:rsidRPr="003254C3">
        <w:rPr>
          <w:rFonts w:ascii="Times New Roman"/>
          <w:sz w:val="22"/>
          <w:szCs w:val="22"/>
        </w:rPr>
        <w:t>For sim</w:t>
      </w:r>
      <w:r>
        <w:rPr>
          <w:rFonts w:ascii="Times New Roman"/>
          <w:sz w:val="22"/>
          <w:szCs w:val="22"/>
        </w:rPr>
        <w:t>plicity, and also given that it the same PA architecture is mapping almost 1-to-1 to intra-band CA, we propose implicit</w:t>
      </w:r>
      <w:r w:rsidR="00351F9C">
        <w:rPr>
          <w:rFonts w:ascii="Times New Roman"/>
          <w:sz w:val="22"/>
          <w:szCs w:val="22"/>
        </w:rPr>
        <w:t xml:space="preserve"> determination to be adopted.</w:t>
      </w:r>
    </w:p>
    <w:p w14:paraId="0F90A070" w14:textId="101CEDEC" w:rsidR="003254C3" w:rsidRDefault="003254C3" w:rsidP="003254C3">
      <w:pPr>
        <w:rPr>
          <w:rFonts w:ascii="Times New Roman"/>
          <w:sz w:val="22"/>
          <w:szCs w:val="22"/>
        </w:rPr>
      </w:pPr>
    </w:p>
    <w:p w14:paraId="40E02EA2" w14:textId="49500812" w:rsidR="003254C3" w:rsidRPr="003254C3" w:rsidRDefault="003254C3" w:rsidP="003254C3">
      <w:pPr>
        <w:rPr>
          <w:rFonts w:ascii="Times New Roman"/>
          <w:b/>
          <w:sz w:val="22"/>
          <w:szCs w:val="22"/>
        </w:rPr>
      </w:pPr>
      <w:r w:rsidRPr="003254C3">
        <w:rPr>
          <w:rFonts w:ascii="Times New Roman"/>
          <w:b/>
          <w:sz w:val="22"/>
          <w:szCs w:val="22"/>
          <w:u w:val="single"/>
        </w:rPr>
        <w:t>Proposal 1:</w:t>
      </w:r>
      <w:r>
        <w:rPr>
          <w:rFonts w:ascii="Times New Roman"/>
          <w:sz w:val="22"/>
          <w:szCs w:val="22"/>
        </w:rPr>
        <w:t xml:space="preserve"> </w:t>
      </w:r>
      <w:r>
        <w:rPr>
          <w:rFonts w:ascii="Times New Roman"/>
          <w:b/>
          <w:sz w:val="22"/>
          <w:szCs w:val="22"/>
        </w:rPr>
        <w:t>For multiple CC aggregated in intra-band UL CA, it is assumed that they share the same PA.</w:t>
      </w:r>
    </w:p>
    <w:p w14:paraId="480C4B09" w14:textId="39ABC4DF" w:rsidR="003254C3" w:rsidRDefault="003254C3" w:rsidP="00125824">
      <w:pPr>
        <w:rPr>
          <w:b/>
          <w:lang w:val="en-GB" w:eastAsia="en-US"/>
        </w:rPr>
      </w:pPr>
    </w:p>
    <w:p w14:paraId="6A8379E6" w14:textId="77777777" w:rsidR="00351F9C" w:rsidRPr="00351F9C" w:rsidRDefault="00351F9C" w:rsidP="00351F9C">
      <w:pPr>
        <w:rPr>
          <w:rFonts w:ascii="Arial" w:hAnsi="Arial" w:cs="Arial"/>
          <w:sz w:val="22"/>
          <w:szCs w:val="22"/>
        </w:rPr>
      </w:pPr>
    </w:p>
    <w:p w14:paraId="50E85AEC" w14:textId="2AB9D7DF" w:rsidR="00351F9C" w:rsidRPr="00351F9C" w:rsidRDefault="00351F9C" w:rsidP="00351F9C">
      <w:pPr>
        <w:pStyle w:val="Heading3"/>
        <w:numPr>
          <w:ilvl w:val="1"/>
          <w:numId w:val="1"/>
        </w:numPr>
        <w:rPr>
          <w:rFonts w:ascii="Times New Roman" w:hAnsi="Times New Roman"/>
          <w:kern w:val="2"/>
          <w:sz w:val="22"/>
          <w:szCs w:val="22"/>
          <w:lang w:val="en-US" w:eastAsia="ko-KR"/>
        </w:rPr>
      </w:pPr>
      <w:r>
        <w:t>Collision handling</w:t>
      </w:r>
    </w:p>
    <w:p w14:paraId="0DAC8165" w14:textId="2B986D60" w:rsidR="00351F9C" w:rsidRDefault="00351F9C" w:rsidP="00125824">
      <w:pPr>
        <w:rPr>
          <w:rFonts w:ascii="Times New Roman"/>
          <w:sz w:val="22"/>
          <w:szCs w:val="22"/>
        </w:rPr>
      </w:pPr>
      <w:r>
        <w:rPr>
          <w:rFonts w:ascii="Times New Roman"/>
          <w:sz w:val="22"/>
          <w:szCs w:val="22"/>
        </w:rPr>
        <w:t xml:space="preserve">With the previous considerations, and when switching to CC3, the UE needs to take into account not only the collision with transmissions in CC1 but also in </w:t>
      </w:r>
      <w:r w:rsidR="006C501B">
        <w:rPr>
          <w:rFonts w:ascii="Times New Roman"/>
          <w:sz w:val="22"/>
          <w:szCs w:val="22"/>
        </w:rPr>
        <w:t xml:space="preserve">the victim carrier </w:t>
      </w:r>
      <w:r>
        <w:rPr>
          <w:rFonts w:ascii="Times New Roman"/>
          <w:sz w:val="22"/>
          <w:szCs w:val="22"/>
        </w:rPr>
        <w:t xml:space="preserve">CC2. There are multiple ways in which </w:t>
      </w:r>
      <w:r>
        <w:rPr>
          <w:rFonts w:ascii="Times New Roman"/>
          <w:sz w:val="22"/>
          <w:szCs w:val="22"/>
        </w:rPr>
        <w:lastRenderedPageBreak/>
        <w:t>this collision can be handled, in the following we propose two alternative solutions to solve this problem:</w:t>
      </w:r>
    </w:p>
    <w:p w14:paraId="61CAB86C" w14:textId="1A30527E" w:rsidR="00351F9C" w:rsidRPr="00B72601" w:rsidRDefault="00351F9C" w:rsidP="00351F9C">
      <w:pPr>
        <w:pStyle w:val="ListParagraph"/>
        <w:numPr>
          <w:ilvl w:val="0"/>
          <w:numId w:val="38"/>
        </w:numPr>
        <w:ind w:leftChars="0"/>
        <w:rPr>
          <w:rFonts w:ascii="Times New Roman"/>
          <w:b/>
          <w:sz w:val="22"/>
          <w:szCs w:val="22"/>
          <w:u w:val="single"/>
        </w:rPr>
      </w:pPr>
      <w:r w:rsidRPr="00351F9C">
        <w:rPr>
          <w:rFonts w:ascii="Times New Roman"/>
          <w:b/>
          <w:sz w:val="22"/>
          <w:szCs w:val="22"/>
          <w:u w:val="single"/>
        </w:rPr>
        <w:t>Assume no collisions:</w:t>
      </w:r>
      <w:r>
        <w:rPr>
          <w:rFonts w:ascii="Times New Roman"/>
          <w:sz w:val="22"/>
          <w:szCs w:val="22"/>
        </w:rPr>
        <w:t xml:space="preserve"> Keep all previous collision rules between CC1 and CC3, but add a </w:t>
      </w:r>
      <w:r w:rsidR="00B72601">
        <w:rPr>
          <w:rFonts w:ascii="Times New Roman"/>
          <w:sz w:val="22"/>
          <w:szCs w:val="22"/>
        </w:rPr>
        <w:t>clarification to the specification saying that the UE is not expected to transmit in CC2 while switching CC1 to CC3.</w:t>
      </w:r>
    </w:p>
    <w:p w14:paraId="4AD96698" w14:textId="0C94FB77" w:rsidR="00B72601" w:rsidRPr="00B72601" w:rsidRDefault="00B72601" w:rsidP="00351F9C">
      <w:pPr>
        <w:pStyle w:val="ListParagraph"/>
        <w:numPr>
          <w:ilvl w:val="0"/>
          <w:numId w:val="38"/>
        </w:numPr>
        <w:ind w:leftChars="0"/>
        <w:rPr>
          <w:rFonts w:ascii="Times New Roman"/>
          <w:b/>
          <w:sz w:val="22"/>
          <w:szCs w:val="22"/>
          <w:u w:val="single"/>
        </w:rPr>
      </w:pPr>
      <w:r>
        <w:rPr>
          <w:rFonts w:ascii="Times New Roman"/>
          <w:b/>
          <w:sz w:val="22"/>
          <w:szCs w:val="22"/>
          <w:u w:val="single"/>
        </w:rPr>
        <w:t>Joint collision handling:</w:t>
      </w:r>
      <w:r>
        <w:rPr>
          <w:rFonts w:ascii="Times New Roman"/>
          <w:sz w:val="22"/>
          <w:szCs w:val="22"/>
        </w:rPr>
        <w:t xml:space="preserve"> In the current specification there are rules defined as how to drop SRS/other transmissions when SRS switching. For example, if HARQ-ACK is transmitted in CC1, then the UE does not switch to CC3 to transmit SRS. We can extend this framework also to the </w:t>
      </w:r>
      <w:r w:rsidRPr="006C501B">
        <w:rPr>
          <w:rFonts w:ascii="Times New Roman"/>
          <w:sz w:val="22"/>
          <w:szCs w:val="22"/>
        </w:rPr>
        <w:t>victim</w:t>
      </w:r>
      <w:r>
        <w:rPr>
          <w:rFonts w:ascii="Times New Roman"/>
          <w:sz w:val="22"/>
          <w:szCs w:val="22"/>
        </w:rPr>
        <w:t xml:space="preserve"> CC</w:t>
      </w:r>
      <w:r w:rsidR="006938EB">
        <w:rPr>
          <w:rFonts w:ascii="Times New Roman"/>
          <w:sz w:val="22"/>
          <w:szCs w:val="22"/>
        </w:rPr>
        <w:t>, i.e. if HARQ-ACK is transmitted in CC2 then the UE should not switch CC1 to CC3.</w:t>
      </w:r>
    </w:p>
    <w:p w14:paraId="480B7F32" w14:textId="199655CD" w:rsidR="00B72601" w:rsidRDefault="00B72601" w:rsidP="00B72601">
      <w:pPr>
        <w:rPr>
          <w:rFonts w:ascii="Times New Roman"/>
          <w:sz w:val="22"/>
          <w:szCs w:val="22"/>
        </w:rPr>
      </w:pPr>
    </w:p>
    <w:p w14:paraId="37664B60" w14:textId="328EA381" w:rsidR="00B72601" w:rsidRDefault="00B72601" w:rsidP="00B72601">
      <w:pPr>
        <w:rPr>
          <w:rFonts w:ascii="Times New Roman"/>
          <w:b/>
          <w:sz w:val="22"/>
          <w:szCs w:val="22"/>
        </w:rPr>
      </w:pPr>
      <w:r w:rsidRPr="00B72601">
        <w:rPr>
          <w:rFonts w:ascii="Times New Roman"/>
          <w:b/>
          <w:sz w:val="22"/>
          <w:szCs w:val="22"/>
          <w:u w:val="single"/>
        </w:rPr>
        <w:t>Proposal 2:</w:t>
      </w:r>
      <w:r>
        <w:rPr>
          <w:rFonts w:ascii="Times New Roman"/>
          <w:b/>
          <w:sz w:val="22"/>
          <w:szCs w:val="22"/>
        </w:rPr>
        <w:t xml:space="preserve"> Adopt one of the following solutions for the cases of collision between SRS switching and </w:t>
      </w:r>
      <w:r>
        <w:rPr>
          <w:rFonts w:ascii="Times New Roman"/>
          <w:b/>
          <w:i/>
          <w:sz w:val="22"/>
          <w:szCs w:val="22"/>
        </w:rPr>
        <w:t xml:space="preserve">victim </w:t>
      </w:r>
      <w:r>
        <w:rPr>
          <w:rFonts w:ascii="Times New Roman"/>
          <w:b/>
          <w:sz w:val="22"/>
          <w:szCs w:val="22"/>
        </w:rPr>
        <w:t>CC:</w:t>
      </w:r>
    </w:p>
    <w:p w14:paraId="34D88035" w14:textId="0FAD6EFF" w:rsidR="00B72601" w:rsidRDefault="00B72601" w:rsidP="00B72601">
      <w:pPr>
        <w:pStyle w:val="ListParagraph"/>
        <w:numPr>
          <w:ilvl w:val="0"/>
          <w:numId w:val="38"/>
        </w:numPr>
        <w:ind w:leftChars="0"/>
        <w:rPr>
          <w:rFonts w:ascii="Times New Roman"/>
          <w:b/>
          <w:sz w:val="22"/>
          <w:szCs w:val="22"/>
        </w:rPr>
      </w:pPr>
      <w:r>
        <w:rPr>
          <w:rFonts w:ascii="Times New Roman"/>
          <w:b/>
          <w:sz w:val="22"/>
          <w:szCs w:val="22"/>
        </w:rPr>
        <w:t xml:space="preserve">Option 1: Assume no transmission in </w:t>
      </w:r>
      <w:r>
        <w:rPr>
          <w:rFonts w:ascii="Times New Roman"/>
          <w:b/>
          <w:i/>
          <w:sz w:val="22"/>
          <w:szCs w:val="22"/>
        </w:rPr>
        <w:t xml:space="preserve">victim </w:t>
      </w:r>
      <w:r>
        <w:rPr>
          <w:rFonts w:ascii="Times New Roman"/>
          <w:b/>
          <w:sz w:val="22"/>
          <w:szCs w:val="22"/>
        </w:rPr>
        <w:t>CC</w:t>
      </w:r>
    </w:p>
    <w:p w14:paraId="0B87EEA7" w14:textId="38ACF80D" w:rsidR="00B72601" w:rsidRDefault="00B72601" w:rsidP="00B72601">
      <w:pPr>
        <w:pStyle w:val="ListParagraph"/>
        <w:numPr>
          <w:ilvl w:val="0"/>
          <w:numId w:val="38"/>
        </w:numPr>
        <w:ind w:leftChars="0"/>
        <w:rPr>
          <w:rFonts w:ascii="Times New Roman"/>
          <w:b/>
          <w:sz w:val="22"/>
          <w:szCs w:val="22"/>
        </w:rPr>
      </w:pPr>
      <w:r>
        <w:rPr>
          <w:rFonts w:ascii="Times New Roman"/>
          <w:b/>
          <w:sz w:val="22"/>
          <w:szCs w:val="22"/>
        </w:rPr>
        <w:t xml:space="preserve">Option 2: Extend collision rules to </w:t>
      </w:r>
      <w:r>
        <w:rPr>
          <w:rFonts w:ascii="Times New Roman"/>
          <w:b/>
          <w:i/>
          <w:sz w:val="22"/>
          <w:szCs w:val="22"/>
        </w:rPr>
        <w:t>victim</w:t>
      </w:r>
      <w:r>
        <w:rPr>
          <w:rFonts w:ascii="Times New Roman"/>
          <w:b/>
          <w:sz w:val="22"/>
          <w:szCs w:val="22"/>
        </w:rPr>
        <w:t xml:space="preserve"> CC (i.e., the transmission of SRS depends on the information transmitted in the </w:t>
      </w:r>
      <w:r>
        <w:rPr>
          <w:rFonts w:ascii="Times New Roman"/>
          <w:b/>
          <w:i/>
          <w:sz w:val="22"/>
          <w:szCs w:val="22"/>
        </w:rPr>
        <w:t>source</w:t>
      </w:r>
      <w:r>
        <w:rPr>
          <w:rFonts w:ascii="Times New Roman"/>
          <w:b/>
          <w:sz w:val="22"/>
          <w:szCs w:val="22"/>
        </w:rPr>
        <w:t xml:space="preserve"> CC and the </w:t>
      </w:r>
      <w:r>
        <w:rPr>
          <w:rFonts w:ascii="Times New Roman"/>
          <w:b/>
          <w:i/>
          <w:sz w:val="22"/>
          <w:szCs w:val="22"/>
        </w:rPr>
        <w:t>victim</w:t>
      </w:r>
      <w:r>
        <w:rPr>
          <w:rFonts w:ascii="Times New Roman"/>
          <w:b/>
          <w:sz w:val="22"/>
          <w:szCs w:val="22"/>
        </w:rPr>
        <w:t xml:space="preserve"> CC).</w:t>
      </w:r>
    </w:p>
    <w:p w14:paraId="5EB4E263" w14:textId="44D68E3C" w:rsidR="006938EB" w:rsidRDefault="006938EB" w:rsidP="006938EB">
      <w:pPr>
        <w:rPr>
          <w:rFonts w:ascii="Times New Roman"/>
          <w:b/>
          <w:sz w:val="22"/>
          <w:szCs w:val="22"/>
        </w:rPr>
      </w:pPr>
    </w:p>
    <w:p w14:paraId="5F4793E8" w14:textId="2139CC07" w:rsidR="006938EB" w:rsidRDefault="006938EB" w:rsidP="006938EB">
      <w:pPr>
        <w:pStyle w:val="Heading1"/>
        <w:rPr>
          <w:lang w:val="en-US"/>
        </w:rPr>
      </w:pPr>
      <w:r>
        <w:rPr>
          <w:lang w:val="en-US"/>
        </w:rPr>
        <w:t>Summary of proposals</w:t>
      </w:r>
    </w:p>
    <w:p w14:paraId="761B5C2D" w14:textId="2E110CCF" w:rsidR="006938EB" w:rsidRDefault="006938EB" w:rsidP="006938EB">
      <w:pPr>
        <w:rPr>
          <w:rFonts w:ascii="Times New Roman"/>
          <w:sz w:val="22"/>
          <w:szCs w:val="22"/>
        </w:rPr>
      </w:pPr>
      <w:r>
        <w:rPr>
          <w:rFonts w:ascii="Times New Roman"/>
          <w:sz w:val="22"/>
          <w:szCs w:val="22"/>
        </w:rPr>
        <w:t xml:space="preserve">In this contribution we present an issue with SRS carrier based switching when configured with UL CA where multiple CC share the same </w:t>
      </w:r>
      <w:r w:rsidR="00726A13">
        <w:rPr>
          <w:rFonts w:ascii="Times New Roman"/>
          <w:sz w:val="22"/>
          <w:szCs w:val="22"/>
        </w:rPr>
        <w:t>PA. We made the following observations and proposals:</w:t>
      </w:r>
    </w:p>
    <w:p w14:paraId="5F251C64" w14:textId="499A1087" w:rsidR="00726A13" w:rsidRDefault="00726A13" w:rsidP="006938EB">
      <w:pPr>
        <w:rPr>
          <w:rFonts w:ascii="Times New Roman"/>
          <w:sz w:val="22"/>
          <w:szCs w:val="22"/>
        </w:rPr>
      </w:pPr>
    </w:p>
    <w:p w14:paraId="3434BB4C" w14:textId="77777777" w:rsidR="006C501B" w:rsidRDefault="006C501B" w:rsidP="006C501B">
      <w:pPr>
        <w:rPr>
          <w:rFonts w:ascii="Times New Roman"/>
          <w:b/>
          <w:sz w:val="22"/>
          <w:szCs w:val="22"/>
        </w:rPr>
      </w:pPr>
      <w:r w:rsidRPr="00125824">
        <w:rPr>
          <w:rFonts w:ascii="Times New Roman"/>
          <w:b/>
          <w:sz w:val="22"/>
          <w:szCs w:val="22"/>
          <w:u w:val="single"/>
        </w:rPr>
        <w:t>Observation 1:</w:t>
      </w:r>
      <w:r>
        <w:rPr>
          <w:rFonts w:ascii="Times New Roman"/>
          <w:b/>
          <w:sz w:val="22"/>
          <w:szCs w:val="22"/>
        </w:rPr>
        <w:t xml:space="preserve"> For some cases (especially for intra-band UL CA) the PA is shared among different CC.</w:t>
      </w:r>
    </w:p>
    <w:p w14:paraId="66022088" w14:textId="77777777" w:rsidR="006C501B" w:rsidRDefault="006C501B" w:rsidP="006C501B">
      <w:pPr>
        <w:rPr>
          <w:rFonts w:ascii="Times New Roman"/>
          <w:b/>
          <w:sz w:val="22"/>
          <w:szCs w:val="22"/>
        </w:rPr>
      </w:pPr>
    </w:p>
    <w:p w14:paraId="7AA6FE02" w14:textId="77777777" w:rsidR="006C501B" w:rsidRDefault="006C501B" w:rsidP="006C501B">
      <w:pPr>
        <w:rPr>
          <w:rFonts w:ascii="Times New Roman"/>
          <w:b/>
          <w:sz w:val="22"/>
          <w:szCs w:val="22"/>
        </w:rPr>
      </w:pPr>
      <w:r w:rsidRPr="00125824">
        <w:rPr>
          <w:rFonts w:ascii="Times New Roman"/>
          <w:b/>
          <w:sz w:val="22"/>
          <w:szCs w:val="22"/>
          <w:u w:val="single"/>
        </w:rPr>
        <w:t>Observation 2</w:t>
      </w:r>
      <w:r>
        <w:rPr>
          <w:rFonts w:ascii="Times New Roman"/>
          <w:b/>
          <w:sz w:val="22"/>
          <w:szCs w:val="22"/>
          <w:u w:val="single"/>
        </w:rPr>
        <w:t xml:space="preserve">: </w:t>
      </w:r>
      <w:r>
        <w:rPr>
          <w:rFonts w:ascii="Times New Roman"/>
          <w:b/>
          <w:sz w:val="22"/>
          <w:szCs w:val="22"/>
        </w:rPr>
        <w:t>If two carriers (CC1 and CC2) share the same PA, switching from CC1 to transmit SRS in CC3 will create interruption in CC2.</w:t>
      </w:r>
    </w:p>
    <w:p w14:paraId="7137F645" w14:textId="3829AB1E" w:rsidR="00726A13" w:rsidRDefault="00726A13" w:rsidP="006938EB">
      <w:pPr>
        <w:rPr>
          <w:rFonts w:ascii="Times New Roman"/>
          <w:b/>
          <w:sz w:val="22"/>
          <w:szCs w:val="22"/>
        </w:rPr>
      </w:pPr>
    </w:p>
    <w:p w14:paraId="40114A64" w14:textId="77777777" w:rsidR="006C501B" w:rsidRPr="003254C3" w:rsidRDefault="006C501B" w:rsidP="006C501B">
      <w:pPr>
        <w:rPr>
          <w:rFonts w:ascii="Times New Roman"/>
          <w:b/>
          <w:sz w:val="22"/>
          <w:szCs w:val="22"/>
        </w:rPr>
      </w:pPr>
      <w:r w:rsidRPr="003254C3">
        <w:rPr>
          <w:rFonts w:ascii="Times New Roman"/>
          <w:b/>
          <w:sz w:val="22"/>
          <w:szCs w:val="22"/>
          <w:u w:val="single"/>
        </w:rPr>
        <w:t>Proposal 1:</w:t>
      </w:r>
      <w:r>
        <w:rPr>
          <w:rFonts w:ascii="Times New Roman"/>
          <w:sz w:val="22"/>
          <w:szCs w:val="22"/>
        </w:rPr>
        <w:t xml:space="preserve"> </w:t>
      </w:r>
      <w:r>
        <w:rPr>
          <w:rFonts w:ascii="Times New Roman"/>
          <w:b/>
          <w:sz w:val="22"/>
          <w:szCs w:val="22"/>
        </w:rPr>
        <w:t>For multiple CC aggregated in intra-band UL CA, it is assumed that they share the same PA.</w:t>
      </w:r>
    </w:p>
    <w:p w14:paraId="31968021" w14:textId="5CEA38FA" w:rsidR="006C501B" w:rsidRDefault="006C501B" w:rsidP="006938EB">
      <w:pPr>
        <w:rPr>
          <w:rFonts w:ascii="Times New Roman"/>
          <w:b/>
          <w:sz w:val="22"/>
          <w:szCs w:val="22"/>
        </w:rPr>
      </w:pPr>
    </w:p>
    <w:p w14:paraId="2E39AEB8" w14:textId="77777777" w:rsidR="006C501B" w:rsidRDefault="006C501B" w:rsidP="006C501B">
      <w:pPr>
        <w:rPr>
          <w:rFonts w:ascii="Times New Roman"/>
          <w:b/>
          <w:sz w:val="22"/>
          <w:szCs w:val="22"/>
        </w:rPr>
      </w:pPr>
      <w:r w:rsidRPr="00B72601">
        <w:rPr>
          <w:rFonts w:ascii="Times New Roman"/>
          <w:b/>
          <w:sz w:val="22"/>
          <w:szCs w:val="22"/>
          <w:u w:val="single"/>
        </w:rPr>
        <w:t>Proposal 2:</w:t>
      </w:r>
      <w:r>
        <w:rPr>
          <w:rFonts w:ascii="Times New Roman"/>
          <w:b/>
          <w:sz w:val="22"/>
          <w:szCs w:val="22"/>
        </w:rPr>
        <w:t xml:space="preserve"> Adopt one of the following solutions for the cases of collision between SRS switching and </w:t>
      </w:r>
      <w:r>
        <w:rPr>
          <w:rFonts w:ascii="Times New Roman"/>
          <w:b/>
          <w:i/>
          <w:sz w:val="22"/>
          <w:szCs w:val="22"/>
        </w:rPr>
        <w:t xml:space="preserve">victim </w:t>
      </w:r>
      <w:r>
        <w:rPr>
          <w:rFonts w:ascii="Times New Roman"/>
          <w:b/>
          <w:sz w:val="22"/>
          <w:szCs w:val="22"/>
        </w:rPr>
        <w:t>CC:</w:t>
      </w:r>
    </w:p>
    <w:p w14:paraId="75F086CE" w14:textId="77777777" w:rsidR="006C501B" w:rsidRDefault="006C501B" w:rsidP="006C501B">
      <w:pPr>
        <w:pStyle w:val="ListParagraph"/>
        <w:numPr>
          <w:ilvl w:val="0"/>
          <w:numId w:val="38"/>
        </w:numPr>
        <w:ind w:leftChars="0"/>
        <w:rPr>
          <w:rFonts w:ascii="Times New Roman"/>
          <w:b/>
          <w:sz w:val="22"/>
          <w:szCs w:val="22"/>
        </w:rPr>
      </w:pPr>
      <w:r>
        <w:rPr>
          <w:rFonts w:ascii="Times New Roman"/>
          <w:b/>
          <w:sz w:val="22"/>
          <w:szCs w:val="22"/>
        </w:rPr>
        <w:t xml:space="preserve">Option 1: Assume no transmission in </w:t>
      </w:r>
      <w:r>
        <w:rPr>
          <w:rFonts w:ascii="Times New Roman"/>
          <w:b/>
          <w:i/>
          <w:sz w:val="22"/>
          <w:szCs w:val="22"/>
        </w:rPr>
        <w:t xml:space="preserve">victim </w:t>
      </w:r>
      <w:r>
        <w:rPr>
          <w:rFonts w:ascii="Times New Roman"/>
          <w:b/>
          <w:sz w:val="22"/>
          <w:szCs w:val="22"/>
        </w:rPr>
        <w:t>CC</w:t>
      </w:r>
    </w:p>
    <w:p w14:paraId="2770955B" w14:textId="77777777" w:rsidR="006C501B" w:rsidRDefault="006C501B" w:rsidP="006C501B">
      <w:pPr>
        <w:pStyle w:val="ListParagraph"/>
        <w:numPr>
          <w:ilvl w:val="0"/>
          <w:numId w:val="38"/>
        </w:numPr>
        <w:ind w:leftChars="0"/>
        <w:rPr>
          <w:rFonts w:ascii="Times New Roman"/>
          <w:b/>
          <w:sz w:val="22"/>
          <w:szCs w:val="22"/>
        </w:rPr>
      </w:pPr>
      <w:r>
        <w:rPr>
          <w:rFonts w:ascii="Times New Roman"/>
          <w:b/>
          <w:sz w:val="22"/>
          <w:szCs w:val="22"/>
        </w:rPr>
        <w:t xml:space="preserve">Option 2: Extend collision rules to </w:t>
      </w:r>
      <w:r>
        <w:rPr>
          <w:rFonts w:ascii="Times New Roman"/>
          <w:b/>
          <w:i/>
          <w:sz w:val="22"/>
          <w:szCs w:val="22"/>
        </w:rPr>
        <w:t>victim</w:t>
      </w:r>
      <w:r>
        <w:rPr>
          <w:rFonts w:ascii="Times New Roman"/>
          <w:b/>
          <w:sz w:val="22"/>
          <w:szCs w:val="22"/>
        </w:rPr>
        <w:t xml:space="preserve"> CC (i.e., the transmission of SRS depends on the information transmitted in the </w:t>
      </w:r>
      <w:r>
        <w:rPr>
          <w:rFonts w:ascii="Times New Roman"/>
          <w:b/>
          <w:i/>
          <w:sz w:val="22"/>
          <w:szCs w:val="22"/>
        </w:rPr>
        <w:t>source</w:t>
      </w:r>
      <w:r>
        <w:rPr>
          <w:rFonts w:ascii="Times New Roman"/>
          <w:b/>
          <w:sz w:val="22"/>
          <w:szCs w:val="22"/>
        </w:rPr>
        <w:t xml:space="preserve"> CC and the </w:t>
      </w:r>
      <w:r>
        <w:rPr>
          <w:rFonts w:ascii="Times New Roman"/>
          <w:b/>
          <w:i/>
          <w:sz w:val="22"/>
          <w:szCs w:val="22"/>
        </w:rPr>
        <w:t>victim</w:t>
      </w:r>
      <w:r>
        <w:rPr>
          <w:rFonts w:ascii="Times New Roman"/>
          <w:b/>
          <w:sz w:val="22"/>
          <w:szCs w:val="22"/>
        </w:rPr>
        <w:t xml:space="preserve"> CC).</w:t>
      </w:r>
    </w:p>
    <w:p w14:paraId="2098C2E3" w14:textId="77777777" w:rsidR="006C501B" w:rsidRPr="006938EB" w:rsidRDefault="006C501B" w:rsidP="006938EB">
      <w:pPr>
        <w:rPr>
          <w:rFonts w:ascii="Times New Roman"/>
          <w:b/>
          <w:sz w:val="22"/>
          <w:szCs w:val="22"/>
        </w:rPr>
      </w:pPr>
    </w:p>
    <w:sectPr w:rsidR="006C501B" w:rsidRPr="006938EB" w:rsidSect="00B47B85">
      <w:footerReference w:type="even" r:id="rId18"/>
      <w:footerReference w:type="default" r:id="rId1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28B71E" w14:textId="77777777" w:rsidR="00501241" w:rsidRDefault="00501241">
      <w:r>
        <w:separator/>
      </w:r>
    </w:p>
  </w:endnote>
  <w:endnote w:type="continuationSeparator" w:id="0">
    <w:p w14:paraId="56971C08" w14:textId="77777777" w:rsidR="00501241" w:rsidRDefault="00501241">
      <w:r>
        <w:continuationSeparator/>
      </w:r>
    </w:p>
  </w:endnote>
  <w:endnote w:type="continuationNotice" w:id="1">
    <w:p w14:paraId="757987C3" w14:textId="77777777" w:rsidR="00501241" w:rsidRDefault="005012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6F548" w14:textId="77777777"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223FF" w:rsidRDefault="005223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F4E41" w14:textId="1D2BBBD1"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F731E">
      <w:rPr>
        <w:rStyle w:val="PageNumber"/>
        <w:noProof/>
      </w:rPr>
      <w:t>1</w:t>
    </w:r>
    <w:r>
      <w:rPr>
        <w:rStyle w:val="PageNumber"/>
      </w:rPr>
      <w:fldChar w:fldCharType="end"/>
    </w:r>
  </w:p>
  <w:p w14:paraId="5BFA00B5" w14:textId="77777777" w:rsidR="005223FF" w:rsidRDefault="00522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4B4EDD" w14:textId="77777777" w:rsidR="00501241" w:rsidRDefault="00501241">
      <w:r>
        <w:separator/>
      </w:r>
    </w:p>
  </w:footnote>
  <w:footnote w:type="continuationSeparator" w:id="0">
    <w:p w14:paraId="12947F5E" w14:textId="77777777" w:rsidR="00501241" w:rsidRDefault="00501241">
      <w:r>
        <w:continuationSeparator/>
      </w:r>
    </w:p>
  </w:footnote>
  <w:footnote w:type="continuationNotice" w:id="1">
    <w:p w14:paraId="68A2F5B0" w14:textId="77777777" w:rsidR="00501241" w:rsidRDefault="0050124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8837E5"/>
    <w:multiLevelType w:val="hybridMultilevel"/>
    <w:tmpl w:val="1682F4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CD13B48"/>
    <w:multiLevelType w:val="hybridMultilevel"/>
    <w:tmpl w:val="BD748304"/>
    <w:lvl w:ilvl="0" w:tplc="33C20D4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BA169F"/>
    <w:multiLevelType w:val="hybridMultilevel"/>
    <w:tmpl w:val="3274D54A"/>
    <w:lvl w:ilvl="0" w:tplc="E6226E12">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E822476"/>
    <w:multiLevelType w:val="hybridMultilevel"/>
    <w:tmpl w:val="14A0C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D0253AD"/>
    <w:multiLevelType w:val="hybridMultilevel"/>
    <w:tmpl w:val="A0B60E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182C69"/>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F0552E"/>
    <w:multiLevelType w:val="multilevel"/>
    <w:tmpl w:val="4C2CC200"/>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sz w:val="28"/>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013417"/>
    <w:multiLevelType w:val="hybridMultilevel"/>
    <w:tmpl w:val="C34A8994"/>
    <w:lvl w:ilvl="0" w:tplc="A2D66706">
      <w:numFmt w:val="bullet"/>
      <w:lvlText w:val="-"/>
      <w:lvlJc w:val="left"/>
      <w:pPr>
        <w:ind w:left="720" w:hanging="360"/>
      </w:pPr>
      <w:rPr>
        <w:rFonts w:ascii="Times New Roman" w:eastAsia="Batang"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AB110D"/>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3338B0"/>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2F0264"/>
    <w:multiLevelType w:val="hybridMultilevel"/>
    <w:tmpl w:val="D6B095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C15AD5"/>
    <w:multiLevelType w:val="hybridMultilevel"/>
    <w:tmpl w:val="525057D8"/>
    <w:lvl w:ilvl="0" w:tplc="67385B06">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B8692D"/>
    <w:multiLevelType w:val="hybridMultilevel"/>
    <w:tmpl w:val="3CCE2F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7D6A61"/>
    <w:multiLevelType w:val="hybridMultilevel"/>
    <w:tmpl w:val="9CD08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EC65AA"/>
    <w:multiLevelType w:val="hybridMultilevel"/>
    <w:tmpl w:val="F64C7D98"/>
    <w:lvl w:ilvl="0" w:tplc="B886610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516EA6"/>
    <w:multiLevelType w:val="hybridMultilevel"/>
    <w:tmpl w:val="2634FA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47168E"/>
    <w:multiLevelType w:val="hybridMultilevel"/>
    <w:tmpl w:val="AE0ED8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803776"/>
    <w:multiLevelType w:val="hybridMultilevel"/>
    <w:tmpl w:val="47666CEC"/>
    <w:lvl w:ilvl="0" w:tplc="5CCC8650">
      <w:start w:val="2"/>
      <w:numFmt w:val="bullet"/>
      <w:lvlText w:val="-"/>
      <w:lvlJc w:val="left"/>
      <w:pPr>
        <w:ind w:left="720" w:hanging="360"/>
      </w:pPr>
      <w:rPr>
        <w:rFonts w:ascii="Times New Roman" w:eastAsia="Batang"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8B3C02"/>
    <w:multiLevelType w:val="hybridMultilevel"/>
    <w:tmpl w:val="A14C6572"/>
    <w:lvl w:ilvl="0" w:tplc="66C89454">
      <w:start w:val="1"/>
      <w:numFmt w:val="bullet"/>
      <w:lvlText w:val="•"/>
      <w:lvlJc w:val="left"/>
      <w:pPr>
        <w:tabs>
          <w:tab w:val="num" w:pos="720"/>
        </w:tabs>
        <w:ind w:left="720" w:hanging="360"/>
      </w:pPr>
      <w:rPr>
        <w:rFonts w:ascii="Arial" w:hAnsi="Arial" w:hint="default"/>
      </w:rPr>
    </w:lvl>
    <w:lvl w:ilvl="1" w:tplc="CC6CC176">
      <w:start w:val="1"/>
      <w:numFmt w:val="bullet"/>
      <w:lvlText w:val="•"/>
      <w:lvlJc w:val="left"/>
      <w:pPr>
        <w:tabs>
          <w:tab w:val="num" w:pos="1440"/>
        </w:tabs>
        <w:ind w:left="1440" w:hanging="360"/>
      </w:pPr>
      <w:rPr>
        <w:rFonts w:ascii="Arial" w:hAnsi="Arial" w:hint="default"/>
      </w:rPr>
    </w:lvl>
    <w:lvl w:ilvl="2" w:tplc="78F6F59A" w:tentative="1">
      <w:start w:val="1"/>
      <w:numFmt w:val="bullet"/>
      <w:lvlText w:val="•"/>
      <w:lvlJc w:val="left"/>
      <w:pPr>
        <w:tabs>
          <w:tab w:val="num" w:pos="2160"/>
        </w:tabs>
        <w:ind w:left="2160" w:hanging="360"/>
      </w:pPr>
      <w:rPr>
        <w:rFonts w:ascii="Arial" w:hAnsi="Arial" w:hint="default"/>
      </w:rPr>
    </w:lvl>
    <w:lvl w:ilvl="3" w:tplc="DF869E94" w:tentative="1">
      <w:start w:val="1"/>
      <w:numFmt w:val="bullet"/>
      <w:lvlText w:val="•"/>
      <w:lvlJc w:val="left"/>
      <w:pPr>
        <w:tabs>
          <w:tab w:val="num" w:pos="2880"/>
        </w:tabs>
        <w:ind w:left="2880" w:hanging="360"/>
      </w:pPr>
      <w:rPr>
        <w:rFonts w:ascii="Arial" w:hAnsi="Arial" w:hint="default"/>
      </w:rPr>
    </w:lvl>
    <w:lvl w:ilvl="4" w:tplc="FA22A94A" w:tentative="1">
      <w:start w:val="1"/>
      <w:numFmt w:val="bullet"/>
      <w:lvlText w:val="•"/>
      <w:lvlJc w:val="left"/>
      <w:pPr>
        <w:tabs>
          <w:tab w:val="num" w:pos="3600"/>
        </w:tabs>
        <w:ind w:left="3600" w:hanging="360"/>
      </w:pPr>
      <w:rPr>
        <w:rFonts w:ascii="Arial" w:hAnsi="Arial" w:hint="default"/>
      </w:rPr>
    </w:lvl>
    <w:lvl w:ilvl="5" w:tplc="18720D26" w:tentative="1">
      <w:start w:val="1"/>
      <w:numFmt w:val="bullet"/>
      <w:lvlText w:val="•"/>
      <w:lvlJc w:val="left"/>
      <w:pPr>
        <w:tabs>
          <w:tab w:val="num" w:pos="4320"/>
        </w:tabs>
        <w:ind w:left="4320" w:hanging="360"/>
      </w:pPr>
      <w:rPr>
        <w:rFonts w:ascii="Arial" w:hAnsi="Arial" w:hint="default"/>
      </w:rPr>
    </w:lvl>
    <w:lvl w:ilvl="6" w:tplc="C4C651C6" w:tentative="1">
      <w:start w:val="1"/>
      <w:numFmt w:val="bullet"/>
      <w:lvlText w:val="•"/>
      <w:lvlJc w:val="left"/>
      <w:pPr>
        <w:tabs>
          <w:tab w:val="num" w:pos="5040"/>
        </w:tabs>
        <w:ind w:left="5040" w:hanging="360"/>
      </w:pPr>
      <w:rPr>
        <w:rFonts w:ascii="Arial" w:hAnsi="Arial" w:hint="default"/>
      </w:rPr>
    </w:lvl>
    <w:lvl w:ilvl="7" w:tplc="736C77BE" w:tentative="1">
      <w:start w:val="1"/>
      <w:numFmt w:val="bullet"/>
      <w:lvlText w:val="•"/>
      <w:lvlJc w:val="left"/>
      <w:pPr>
        <w:tabs>
          <w:tab w:val="num" w:pos="5760"/>
        </w:tabs>
        <w:ind w:left="5760" w:hanging="360"/>
      </w:pPr>
      <w:rPr>
        <w:rFonts w:ascii="Arial" w:hAnsi="Arial" w:hint="default"/>
      </w:rPr>
    </w:lvl>
    <w:lvl w:ilvl="8" w:tplc="4882174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3D4150"/>
    <w:multiLevelType w:val="hybridMultilevel"/>
    <w:tmpl w:val="918051B6"/>
    <w:lvl w:ilvl="0" w:tplc="3BE0772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531639B9"/>
    <w:multiLevelType w:val="hybridMultilevel"/>
    <w:tmpl w:val="7C846BC2"/>
    <w:lvl w:ilvl="0" w:tplc="8FF2ADA6">
      <w:start w:val="1"/>
      <w:numFmt w:val="bullet"/>
      <w:lvlText w:val="•"/>
      <w:lvlJc w:val="left"/>
      <w:pPr>
        <w:tabs>
          <w:tab w:val="num" w:pos="720"/>
        </w:tabs>
        <w:ind w:left="720" w:hanging="360"/>
      </w:pPr>
      <w:rPr>
        <w:rFonts w:ascii="Arial" w:hAnsi="Arial" w:hint="default"/>
      </w:rPr>
    </w:lvl>
    <w:lvl w:ilvl="1" w:tplc="692EA68C">
      <w:start w:val="42"/>
      <w:numFmt w:val="bullet"/>
      <w:lvlText w:val="•"/>
      <w:lvlJc w:val="left"/>
      <w:pPr>
        <w:tabs>
          <w:tab w:val="num" w:pos="1440"/>
        </w:tabs>
        <w:ind w:left="1440" w:hanging="360"/>
      </w:pPr>
      <w:rPr>
        <w:rFonts w:ascii="Arial" w:hAnsi="Arial" w:hint="default"/>
      </w:rPr>
    </w:lvl>
    <w:lvl w:ilvl="2" w:tplc="C8D07BD2" w:tentative="1">
      <w:start w:val="1"/>
      <w:numFmt w:val="bullet"/>
      <w:lvlText w:val="•"/>
      <w:lvlJc w:val="left"/>
      <w:pPr>
        <w:tabs>
          <w:tab w:val="num" w:pos="2160"/>
        </w:tabs>
        <w:ind w:left="2160" w:hanging="360"/>
      </w:pPr>
      <w:rPr>
        <w:rFonts w:ascii="Arial" w:hAnsi="Arial" w:hint="default"/>
      </w:rPr>
    </w:lvl>
    <w:lvl w:ilvl="3" w:tplc="93F0F57E" w:tentative="1">
      <w:start w:val="1"/>
      <w:numFmt w:val="bullet"/>
      <w:lvlText w:val="•"/>
      <w:lvlJc w:val="left"/>
      <w:pPr>
        <w:tabs>
          <w:tab w:val="num" w:pos="2880"/>
        </w:tabs>
        <w:ind w:left="2880" w:hanging="360"/>
      </w:pPr>
      <w:rPr>
        <w:rFonts w:ascii="Arial" w:hAnsi="Arial" w:hint="default"/>
      </w:rPr>
    </w:lvl>
    <w:lvl w:ilvl="4" w:tplc="A12E11A0" w:tentative="1">
      <w:start w:val="1"/>
      <w:numFmt w:val="bullet"/>
      <w:lvlText w:val="•"/>
      <w:lvlJc w:val="left"/>
      <w:pPr>
        <w:tabs>
          <w:tab w:val="num" w:pos="3600"/>
        </w:tabs>
        <w:ind w:left="3600" w:hanging="360"/>
      </w:pPr>
      <w:rPr>
        <w:rFonts w:ascii="Arial" w:hAnsi="Arial" w:hint="default"/>
      </w:rPr>
    </w:lvl>
    <w:lvl w:ilvl="5" w:tplc="7E6A1044" w:tentative="1">
      <w:start w:val="1"/>
      <w:numFmt w:val="bullet"/>
      <w:lvlText w:val="•"/>
      <w:lvlJc w:val="left"/>
      <w:pPr>
        <w:tabs>
          <w:tab w:val="num" w:pos="4320"/>
        </w:tabs>
        <w:ind w:left="4320" w:hanging="360"/>
      </w:pPr>
      <w:rPr>
        <w:rFonts w:ascii="Arial" w:hAnsi="Arial" w:hint="default"/>
      </w:rPr>
    </w:lvl>
    <w:lvl w:ilvl="6" w:tplc="64462746" w:tentative="1">
      <w:start w:val="1"/>
      <w:numFmt w:val="bullet"/>
      <w:lvlText w:val="•"/>
      <w:lvlJc w:val="left"/>
      <w:pPr>
        <w:tabs>
          <w:tab w:val="num" w:pos="5040"/>
        </w:tabs>
        <w:ind w:left="5040" w:hanging="360"/>
      </w:pPr>
      <w:rPr>
        <w:rFonts w:ascii="Arial" w:hAnsi="Arial" w:hint="default"/>
      </w:rPr>
    </w:lvl>
    <w:lvl w:ilvl="7" w:tplc="03701AAC" w:tentative="1">
      <w:start w:val="1"/>
      <w:numFmt w:val="bullet"/>
      <w:lvlText w:val="•"/>
      <w:lvlJc w:val="left"/>
      <w:pPr>
        <w:tabs>
          <w:tab w:val="num" w:pos="5760"/>
        </w:tabs>
        <w:ind w:left="5760" w:hanging="360"/>
      </w:pPr>
      <w:rPr>
        <w:rFonts w:ascii="Arial" w:hAnsi="Arial" w:hint="default"/>
      </w:rPr>
    </w:lvl>
    <w:lvl w:ilvl="8" w:tplc="96F22E5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BB4507"/>
    <w:multiLevelType w:val="hybridMultilevel"/>
    <w:tmpl w:val="A0A8B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79010C"/>
    <w:multiLevelType w:val="hybridMultilevel"/>
    <w:tmpl w:val="731A0BD0"/>
    <w:lvl w:ilvl="0" w:tplc="7A520C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E597D"/>
    <w:multiLevelType w:val="hybridMultilevel"/>
    <w:tmpl w:val="3BBCF00C"/>
    <w:lvl w:ilvl="0" w:tplc="78FCCC6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FC281F"/>
    <w:multiLevelType w:val="hybridMultilevel"/>
    <w:tmpl w:val="DB96B6E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A966FF"/>
    <w:multiLevelType w:val="hybridMultilevel"/>
    <w:tmpl w:val="1272F0D0"/>
    <w:lvl w:ilvl="0" w:tplc="20C8E322">
      <w:start w:val="1"/>
      <w:numFmt w:val="bullet"/>
      <w:lvlText w:val="•"/>
      <w:lvlJc w:val="left"/>
      <w:pPr>
        <w:tabs>
          <w:tab w:val="num" w:pos="720"/>
        </w:tabs>
        <w:ind w:left="720" w:hanging="360"/>
      </w:pPr>
      <w:rPr>
        <w:rFonts w:ascii="Arial" w:hAnsi="Arial" w:hint="default"/>
      </w:rPr>
    </w:lvl>
    <w:lvl w:ilvl="1" w:tplc="4D60EAEA">
      <w:start w:val="1"/>
      <w:numFmt w:val="bullet"/>
      <w:lvlText w:val="•"/>
      <w:lvlJc w:val="left"/>
      <w:pPr>
        <w:tabs>
          <w:tab w:val="num" w:pos="1440"/>
        </w:tabs>
        <w:ind w:left="1440" w:hanging="360"/>
      </w:pPr>
      <w:rPr>
        <w:rFonts w:ascii="Arial" w:hAnsi="Arial" w:hint="default"/>
      </w:rPr>
    </w:lvl>
    <w:lvl w:ilvl="2" w:tplc="B24C91A4" w:tentative="1">
      <w:start w:val="1"/>
      <w:numFmt w:val="bullet"/>
      <w:lvlText w:val="•"/>
      <w:lvlJc w:val="left"/>
      <w:pPr>
        <w:tabs>
          <w:tab w:val="num" w:pos="2160"/>
        </w:tabs>
        <w:ind w:left="2160" w:hanging="360"/>
      </w:pPr>
      <w:rPr>
        <w:rFonts w:ascii="Arial" w:hAnsi="Arial" w:hint="default"/>
      </w:rPr>
    </w:lvl>
    <w:lvl w:ilvl="3" w:tplc="D1880BF8" w:tentative="1">
      <w:start w:val="1"/>
      <w:numFmt w:val="bullet"/>
      <w:lvlText w:val="•"/>
      <w:lvlJc w:val="left"/>
      <w:pPr>
        <w:tabs>
          <w:tab w:val="num" w:pos="2880"/>
        </w:tabs>
        <w:ind w:left="2880" w:hanging="360"/>
      </w:pPr>
      <w:rPr>
        <w:rFonts w:ascii="Arial" w:hAnsi="Arial" w:hint="default"/>
      </w:rPr>
    </w:lvl>
    <w:lvl w:ilvl="4" w:tplc="8C88D802" w:tentative="1">
      <w:start w:val="1"/>
      <w:numFmt w:val="bullet"/>
      <w:lvlText w:val="•"/>
      <w:lvlJc w:val="left"/>
      <w:pPr>
        <w:tabs>
          <w:tab w:val="num" w:pos="3600"/>
        </w:tabs>
        <w:ind w:left="3600" w:hanging="360"/>
      </w:pPr>
      <w:rPr>
        <w:rFonts w:ascii="Arial" w:hAnsi="Arial" w:hint="default"/>
      </w:rPr>
    </w:lvl>
    <w:lvl w:ilvl="5" w:tplc="831659D4" w:tentative="1">
      <w:start w:val="1"/>
      <w:numFmt w:val="bullet"/>
      <w:lvlText w:val="•"/>
      <w:lvlJc w:val="left"/>
      <w:pPr>
        <w:tabs>
          <w:tab w:val="num" w:pos="4320"/>
        </w:tabs>
        <w:ind w:left="4320" w:hanging="360"/>
      </w:pPr>
      <w:rPr>
        <w:rFonts w:ascii="Arial" w:hAnsi="Arial" w:hint="default"/>
      </w:rPr>
    </w:lvl>
    <w:lvl w:ilvl="6" w:tplc="AC024798" w:tentative="1">
      <w:start w:val="1"/>
      <w:numFmt w:val="bullet"/>
      <w:lvlText w:val="•"/>
      <w:lvlJc w:val="left"/>
      <w:pPr>
        <w:tabs>
          <w:tab w:val="num" w:pos="5040"/>
        </w:tabs>
        <w:ind w:left="5040" w:hanging="360"/>
      </w:pPr>
      <w:rPr>
        <w:rFonts w:ascii="Arial" w:hAnsi="Arial" w:hint="default"/>
      </w:rPr>
    </w:lvl>
    <w:lvl w:ilvl="7" w:tplc="EA601B94" w:tentative="1">
      <w:start w:val="1"/>
      <w:numFmt w:val="bullet"/>
      <w:lvlText w:val="•"/>
      <w:lvlJc w:val="left"/>
      <w:pPr>
        <w:tabs>
          <w:tab w:val="num" w:pos="5760"/>
        </w:tabs>
        <w:ind w:left="5760" w:hanging="360"/>
      </w:pPr>
      <w:rPr>
        <w:rFonts w:ascii="Arial" w:hAnsi="Arial" w:hint="default"/>
      </w:rPr>
    </w:lvl>
    <w:lvl w:ilvl="8" w:tplc="57CA4A2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6D26560"/>
    <w:multiLevelType w:val="hybridMultilevel"/>
    <w:tmpl w:val="AB2C408E"/>
    <w:lvl w:ilvl="0" w:tplc="6BC4C34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C2D36B0"/>
    <w:multiLevelType w:val="hybridMultilevel"/>
    <w:tmpl w:val="CDEA4858"/>
    <w:lvl w:ilvl="0" w:tplc="517EDDA0">
      <w:start w:val="2"/>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3" w15:restartNumberingAfterBreak="0">
    <w:nsid w:val="754D5101"/>
    <w:multiLevelType w:val="hybridMultilevel"/>
    <w:tmpl w:val="98E04CB4"/>
    <w:lvl w:ilvl="0" w:tplc="0B40E66C">
      <w:start w:val="1"/>
      <w:numFmt w:val="decimal"/>
      <w:lvlText w:val="%1."/>
      <w:lvlJc w:val="left"/>
      <w:pPr>
        <w:ind w:left="720" w:hanging="360"/>
      </w:pPr>
      <w:rPr>
        <w:rFonts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D62F9F"/>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9"/>
  </w:num>
  <w:num w:numId="2">
    <w:abstractNumId w:val="6"/>
  </w:num>
  <w:num w:numId="3">
    <w:abstractNumId w:val="24"/>
  </w:num>
  <w:num w:numId="4">
    <w:abstractNumId w:val="36"/>
  </w:num>
  <w:num w:numId="5">
    <w:abstractNumId w:val="37"/>
  </w:num>
  <w:num w:numId="6">
    <w:abstractNumId w:val="13"/>
  </w:num>
  <w:num w:numId="7">
    <w:abstractNumId w:val="18"/>
  </w:num>
  <w:num w:numId="8">
    <w:abstractNumId w:val="4"/>
  </w:num>
  <w:num w:numId="9">
    <w:abstractNumId w:val="30"/>
  </w:num>
  <w:num w:numId="10">
    <w:abstractNumId w:val="26"/>
  </w:num>
  <w:num w:numId="11">
    <w:abstractNumId w:val="23"/>
  </w:num>
  <w:num w:numId="12">
    <w:abstractNumId w:val="3"/>
  </w:num>
  <w:num w:numId="13">
    <w:abstractNumId w:val="31"/>
  </w:num>
  <w:num w:numId="14">
    <w:abstractNumId w:val="35"/>
  </w:num>
  <w:num w:numId="15">
    <w:abstractNumId w:val="25"/>
  </w:num>
  <w:num w:numId="16">
    <w:abstractNumId w:val="14"/>
  </w:num>
  <w:num w:numId="17">
    <w:abstractNumId w:val="10"/>
  </w:num>
  <w:num w:numId="18">
    <w:abstractNumId w:val="1"/>
  </w:num>
  <w:num w:numId="19">
    <w:abstractNumId w:val="27"/>
  </w:num>
  <w:num w:numId="20">
    <w:abstractNumId w:val="17"/>
  </w:num>
  <w:num w:numId="21">
    <w:abstractNumId w:val="7"/>
  </w:num>
  <w:num w:numId="22">
    <w:abstractNumId w:val="8"/>
  </w:num>
  <w:num w:numId="23">
    <w:abstractNumId w:val="34"/>
  </w:num>
  <w:num w:numId="24">
    <w:abstractNumId w:val="11"/>
  </w:num>
  <w:num w:numId="25">
    <w:abstractNumId w:val="12"/>
  </w:num>
  <w:num w:numId="26">
    <w:abstractNumId w:val="2"/>
  </w:num>
  <w:num w:numId="27">
    <w:abstractNumId w:val="28"/>
  </w:num>
  <w:num w:numId="28">
    <w:abstractNumId w:val="32"/>
  </w:num>
  <w:num w:numId="29">
    <w:abstractNumId w:val="16"/>
  </w:num>
  <w:num w:numId="30">
    <w:abstractNumId w:val="22"/>
  </w:num>
  <w:num w:numId="31">
    <w:abstractNumId w:val="5"/>
  </w:num>
  <w:num w:numId="32">
    <w:abstractNumId w:val="20"/>
  </w:num>
  <w:num w:numId="33">
    <w:abstractNumId w:val="0"/>
  </w:num>
  <w:num w:numId="34">
    <w:abstractNumId w:val="15"/>
  </w:num>
  <w:num w:numId="35">
    <w:abstractNumId w:val="19"/>
  </w:num>
  <w:num w:numId="36">
    <w:abstractNumId w:val="29"/>
  </w:num>
  <w:num w:numId="37">
    <w:abstractNumId w:val="33"/>
  </w:num>
  <w:num w:numId="38">
    <w:abstractNumId w:val="21"/>
  </w:num>
  <w:num w:numId="39">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71A"/>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5E4E"/>
    <w:rsid w:val="0001612D"/>
    <w:rsid w:val="00016214"/>
    <w:rsid w:val="00016B13"/>
    <w:rsid w:val="00016C8C"/>
    <w:rsid w:val="00016D23"/>
    <w:rsid w:val="00016E42"/>
    <w:rsid w:val="00016EC6"/>
    <w:rsid w:val="00017072"/>
    <w:rsid w:val="000171D8"/>
    <w:rsid w:val="0001751E"/>
    <w:rsid w:val="00017D82"/>
    <w:rsid w:val="0002005A"/>
    <w:rsid w:val="000201E3"/>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08"/>
    <w:rsid w:val="00031CBE"/>
    <w:rsid w:val="00031D12"/>
    <w:rsid w:val="000323AF"/>
    <w:rsid w:val="00032A32"/>
    <w:rsid w:val="00032D3D"/>
    <w:rsid w:val="00032FB9"/>
    <w:rsid w:val="00033143"/>
    <w:rsid w:val="0003316D"/>
    <w:rsid w:val="000337CB"/>
    <w:rsid w:val="0003388E"/>
    <w:rsid w:val="000338B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62"/>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46F"/>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63A"/>
    <w:rsid w:val="000B7DE7"/>
    <w:rsid w:val="000B7E66"/>
    <w:rsid w:val="000B7EFD"/>
    <w:rsid w:val="000C03DC"/>
    <w:rsid w:val="000C0751"/>
    <w:rsid w:val="000C0BCF"/>
    <w:rsid w:val="000C0DCB"/>
    <w:rsid w:val="000C0F30"/>
    <w:rsid w:val="000C1030"/>
    <w:rsid w:val="000C1138"/>
    <w:rsid w:val="000C1425"/>
    <w:rsid w:val="000C194B"/>
    <w:rsid w:val="000C1E30"/>
    <w:rsid w:val="000C1E3F"/>
    <w:rsid w:val="000C20E1"/>
    <w:rsid w:val="000C279E"/>
    <w:rsid w:val="000C2BA0"/>
    <w:rsid w:val="000C2E60"/>
    <w:rsid w:val="000C315E"/>
    <w:rsid w:val="000C37FB"/>
    <w:rsid w:val="000C5285"/>
    <w:rsid w:val="000C55A2"/>
    <w:rsid w:val="000C5B2B"/>
    <w:rsid w:val="000C5D1A"/>
    <w:rsid w:val="000C5EB1"/>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1B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1E"/>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6A5"/>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824"/>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30D"/>
    <w:rsid w:val="00136756"/>
    <w:rsid w:val="00136BCA"/>
    <w:rsid w:val="001370CC"/>
    <w:rsid w:val="001377BE"/>
    <w:rsid w:val="001379E0"/>
    <w:rsid w:val="00137D00"/>
    <w:rsid w:val="001401AD"/>
    <w:rsid w:val="001402D9"/>
    <w:rsid w:val="001403C0"/>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11"/>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2D8"/>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39F"/>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3C1"/>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696"/>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50"/>
    <w:rsid w:val="001E0FBD"/>
    <w:rsid w:val="001E194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22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1F7D5B"/>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88"/>
    <w:rsid w:val="002143AF"/>
    <w:rsid w:val="00214911"/>
    <w:rsid w:val="00214F4B"/>
    <w:rsid w:val="002152B8"/>
    <w:rsid w:val="00215AB1"/>
    <w:rsid w:val="00215C37"/>
    <w:rsid w:val="0021633E"/>
    <w:rsid w:val="00216559"/>
    <w:rsid w:val="002165B0"/>
    <w:rsid w:val="0021696A"/>
    <w:rsid w:val="00216BB5"/>
    <w:rsid w:val="00216C93"/>
    <w:rsid w:val="00216F55"/>
    <w:rsid w:val="00216FCA"/>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54"/>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184"/>
    <w:rsid w:val="002A43EC"/>
    <w:rsid w:val="002A476A"/>
    <w:rsid w:val="002A48B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E80"/>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204"/>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AC1"/>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407"/>
    <w:rsid w:val="00324699"/>
    <w:rsid w:val="003249B6"/>
    <w:rsid w:val="00324B1F"/>
    <w:rsid w:val="0032524A"/>
    <w:rsid w:val="003254C3"/>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9C"/>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22"/>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457"/>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869"/>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0ED"/>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5FA"/>
    <w:rsid w:val="00424762"/>
    <w:rsid w:val="00424E75"/>
    <w:rsid w:val="004255FF"/>
    <w:rsid w:val="00425C19"/>
    <w:rsid w:val="00425F15"/>
    <w:rsid w:val="004260BE"/>
    <w:rsid w:val="004263B0"/>
    <w:rsid w:val="004265BA"/>
    <w:rsid w:val="004269F0"/>
    <w:rsid w:val="00426B00"/>
    <w:rsid w:val="00426C5F"/>
    <w:rsid w:val="004270FC"/>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4EA8"/>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9D2"/>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241"/>
    <w:rsid w:val="00501536"/>
    <w:rsid w:val="00501A83"/>
    <w:rsid w:val="00501CEE"/>
    <w:rsid w:val="00501E46"/>
    <w:rsid w:val="00502356"/>
    <w:rsid w:val="0050261D"/>
    <w:rsid w:val="00502720"/>
    <w:rsid w:val="00502895"/>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2D41"/>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73C"/>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3FF"/>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58E"/>
    <w:rsid w:val="00561633"/>
    <w:rsid w:val="00561A1F"/>
    <w:rsid w:val="00561BE0"/>
    <w:rsid w:val="00561C3C"/>
    <w:rsid w:val="00561CB4"/>
    <w:rsid w:val="0056207C"/>
    <w:rsid w:val="005621A7"/>
    <w:rsid w:val="00562400"/>
    <w:rsid w:val="00562A56"/>
    <w:rsid w:val="00562BCA"/>
    <w:rsid w:val="00562CB5"/>
    <w:rsid w:val="00562CBA"/>
    <w:rsid w:val="00563203"/>
    <w:rsid w:val="00563632"/>
    <w:rsid w:val="00563CC8"/>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10"/>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A9C"/>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2DE"/>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9EC"/>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1AE7"/>
    <w:rsid w:val="006422C0"/>
    <w:rsid w:val="006428BB"/>
    <w:rsid w:val="00642F88"/>
    <w:rsid w:val="00642FAD"/>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6F4A"/>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4CC"/>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8EB"/>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01B"/>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0950"/>
    <w:rsid w:val="006E2691"/>
    <w:rsid w:val="006E28D7"/>
    <w:rsid w:val="006E2BB9"/>
    <w:rsid w:val="006E2C2E"/>
    <w:rsid w:val="006E35A3"/>
    <w:rsid w:val="006E365A"/>
    <w:rsid w:val="006E3BD3"/>
    <w:rsid w:val="006E3DD1"/>
    <w:rsid w:val="006E3DE5"/>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21E"/>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1F"/>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2C91"/>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A13"/>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5B2E"/>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2805"/>
    <w:rsid w:val="0075311D"/>
    <w:rsid w:val="00753C57"/>
    <w:rsid w:val="007543C7"/>
    <w:rsid w:val="0075447C"/>
    <w:rsid w:val="0075448C"/>
    <w:rsid w:val="00754686"/>
    <w:rsid w:val="00754787"/>
    <w:rsid w:val="00754913"/>
    <w:rsid w:val="007550CB"/>
    <w:rsid w:val="007556C0"/>
    <w:rsid w:val="00755BB7"/>
    <w:rsid w:val="00755D8D"/>
    <w:rsid w:val="00756185"/>
    <w:rsid w:val="00756395"/>
    <w:rsid w:val="0075672E"/>
    <w:rsid w:val="00756E25"/>
    <w:rsid w:val="00756ED7"/>
    <w:rsid w:val="00757657"/>
    <w:rsid w:val="00757C59"/>
    <w:rsid w:val="00757D56"/>
    <w:rsid w:val="00757FF1"/>
    <w:rsid w:val="0076031A"/>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AE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1FE2"/>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0EE8"/>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A1C"/>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AC3"/>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095"/>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07"/>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11"/>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3E8"/>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1C79"/>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3BE"/>
    <w:rsid w:val="0097750F"/>
    <w:rsid w:val="009801B1"/>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B09"/>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8CE"/>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138"/>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BC"/>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AD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0F"/>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6B6"/>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840"/>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105"/>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48"/>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601"/>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36"/>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5B15"/>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10"/>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23D"/>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6E"/>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4D92"/>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0F9"/>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BA"/>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238"/>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199"/>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3E6"/>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2B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AB3"/>
    <w:rsid w:val="00DF7D69"/>
    <w:rsid w:val="00DF7E66"/>
    <w:rsid w:val="00E00272"/>
    <w:rsid w:val="00E00360"/>
    <w:rsid w:val="00E00C0C"/>
    <w:rsid w:val="00E00E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98A"/>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62E"/>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6BA"/>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081"/>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368"/>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1E6E"/>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94F"/>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342"/>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78A"/>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516"/>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4EE7"/>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2EEF"/>
    <w:rsid w:val="00FD34D9"/>
    <w:rsid w:val="00FD3676"/>
    <w:rsid w:val="00FD3B2C"/>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58F"/>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link w:val="CommentTextChar"/>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EQ">
    <w:name w:val="EQ"/>
    <w:basedOn w:val="Normal"/>
    <w:next w:val="Normal"/>
    <w:rsid w:val="006E3DE5"/>
    <w:pPr>
      <w:keepLines/>
      <w:widowControl/>
      <w:tabs>
        <w:tab w:val="center" w:pos="4536"/>
        <w:tab w:val="right" w:pos="9072"/>
      </w:tabs>
      <w:wordWrap/>
      <w:overflowPunct w:val="0"/>
      <w:adjustRightInd w:val="0"/>
      <w:spacing w:after="180"/>
      <w:jc w:val="left"/>
      <w:textAlignment w:val="baseline"/>
    </w:pPr>
    <w:rPr>
      <w:rFonts w:ascii="Times New Roman" w:eastAsia="Times New Roman"/>
      <w:noProof/>
      <w:kern w:val="0"/>
      <w:szCs w:val="20"/>
      <w:lang w:val="en-GB" w:eastAsia="en-GB"/>
    </w:rPr>
  </w:style>
  <w:style w:type="character" w:customStyle="1" w:styleId="CommentTextChar">
    <w:name w:val="Comment Text Char"/>
    <w:basedOn w:val="DefaultParagraphFont"/>
    <w:link w:val="CommentText"/>
    <w:semiHidden/>
    <w:rsid w:val="00371822"/>
    <w:rPr>
      <w:rFonts w:ascii="Batang"/>
      <w:kern w:val="2"/>
      <w:szCs w:val="24"/>
      <w:lang w:eastAsia="ko-KR"/>
    </w:rPr>
  </w:style>
  <w:style w:type="table" w:styleId="GridTable1Light">
    <w:name w:val="Grid Table 1 Light"/>
    <w:basedOn w:val="TableNormal"/>
    <w:uiPriority w:val="46"/>
    <w:rsid w:val="001F7D5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1F7D5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rsid w:val="000C5EB1"/>
    <w:rPr>
      <w:szCs w:val="20"/>
    </w:rPr>
  </w:style>
  <w:style w:type="character" w:customStyle="1" w:styleId="EndnoteTextChar">
    <w:name w:val="Endnote Text Char"/>
    <w:basedOn w:val="DefaultParagraphFont"/>
    <w:link w:val="EndnoteText"/>
    <w:rsid w:val="000C5EB1"/>
    <w:rPr>
      <w:rFonts w:ascii="Batang"/>
      <w:kern w:val="2"/>
      <w:lang w:eastAsia="ko-KR"/>
    </w:rPr>
  </w:style>
  <w:style w:type="character" w:styleId="EndnoteReference">
    <w:name w:val="endnote reference"/>
    <w:basedOn w:val="DefaultParagraphFont"/>
    <w:rsid w:val="000C5E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1824">
      <w:bodyDiv w:val="1"/>
      <w:marLeft w:val="0"/>
      <w:marRight w:val="0"/>
      <w:marTop w:val="0"/>
      <w:marBottom w:val="0"/>
      <w:divBdr>
        <w:top w:val="none" w:sz="0" w:space="0" w:color="auto"/>
        <w:left w:val="none" w:sz="0" w:space="0" w:color="auto"/>
        <w:bottom w:val="none" w:sz="0" w:space="0" w:color="auto"/>
        <w:right w:val="none" w:sz="0" w:space="0" w:color="auto"/>
      </w:divBdr>
    </w:div>
    <w:div w:id="21980578">
      <w:bodyDiv w:val="1"/>
      <w:marLeft w:val="0"/>
      <w:marRight w:val="0"/>
      <w:marTop w:val="0"/>
      <w:marBottom w:val="0"/>
      <w:divBdr>
        <w:top w:val="none" w:sz="0" w:space="0" w:color="auto"/>
        <w:left w:val="none" w:sz="0" w:space="0" w:color="auto"/>
        <w:bottom w:val="none" w:sz="0" w:space="0" w:color="auto"/>
        <w:right w:val="none" w:sz="0" w:space="0" w:color="auto"/>
      </w:divBdr>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28206661">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53644607">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49893545">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6645682">
      <w:bodyDiv w:val="1"/>
      <w:marLeft w:val="0"/>
      <w:marRight w:val="0"/>
      <w:marTop w:val="0"/>
      <w:marBottom w:val="0"/>
      <w:divBdr>
        <w:top w:val="none" w:sz="0" w:space="0" w:color="auto"/>
        <w:left w:val="none" w:sz="0" w:space="0" w:color="auto"/>
        <w:bottom w:val="none" w:sz="0" w:space="0" w:color="auto"/>
        <w:right w:val="none" w:sz="0" w:space="0" w:color="auto"/>
      </w:divBdr>
    </w:div>
    <w:div w:id="283197002">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66487104">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685154">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36393261">
      <w:bodyDiv w:val="1"/>
      <w:marLeft w:val="0"/>
      <w:marRight w:val="0"/>
      <w:marTop w:val="0"/>
      <w:marBottom w:val="0"/>
      <w:divBdr>
        <w:top w:val="none" w:sz="0" w:space="0" w:color="auto"/>
        <w:left w:val="none" w:sz="0" w:space="0" w:color="auto"/>
        <w:bottom w:val="none" w:sz="0" w:space="0" w:color="auto"/>
        <w:right w:val="none" w:sz="0" w:space="0" w:color="auto"/>
      </w:divBdr>
    </w:div>
    <w:div w:id="741440901">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2846905">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85601056">
      <w:bodyDiv w:val="1"/>
      <w:marLeft w:val="0"/>
      <w:marRight w:val="0"/>
      <w:marTop w:val="0"/>
      <w:marBottom w:val="0"/>
      <w:divBdr>
        <w:top w:val="none" w:sz="0" w:space="0" w:color="auto"/>
        <w:left w:val="none" w:sz="0" w:space="0" w:color="auto"/>
        <w:bottom w:val="none" w:sz="0" w:space="0" w:color="auto"/>
        <w:right w:val="none" w:sz="0" w:space="0" w:color="auto"/>
      </w:divBdr>
    </w:div>
    <w:div w:id="902830512">
      <w:bodyDiv w:val="1"/>
      <w:marLeft w:val="0"/>
      <w:marRight w:val="0"/>
      <w:marTop w:val="0"/>
      <w:marBottom w:val="0"/>
      <w:divBdr>
        <w:top w:val="none" w:sz="0" w:space="0" w:color="auto"/>
        <w:left w:val="none" w:sz="0" w:space="0" w:color="auto"/>
        <w:bottom w:val="none" w:sz="0" w:space="0" w:color="auto"/>
        <w:right w:val="none" w:sz="0" w:space="0" w:color="auto"/>
      </w:divBdr>
    </w:div>
    <w:div w:id="91686166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3587166">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400852">
      <w:bodyDiv w:val="1"/>
      <w:marLeft w:val="0"/>
      <w:marRight w:val="0"/>
      <w:marTop w:val="0"/>
      <w:marBottom w:val="0"/>
      <w:divBdr>
        <w:top w:val="none" w:sz="0" w:space="0" w:color="auto"/>
        <w:left w:val="none" w:sz="0" w:space="0" w:color="auto"/>
        <w:bottom w:val="none" w:sz="0" w:space="0" w:color="auto"/>
        <w:right w:val="none" w:sz="0" w:space="0" w:color="auto"/>
      </w:divBdr>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4454328">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3551414">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505138">
      <w:bodyDiv w:val="1"/>
      <w:marLeft w:val="0"/>
      <w:marRight w:val="0"/>
      <w:marTop w:val="0"/>
      <w:marBottom w:val="0"/>
      <w:divBdr>
        <w:top w:val="none" w:sz="0" w:space="0" w:color="auto"/>
        <w:left w:val="none" w:sz="0" w:space="0" w:color="auto"/>
        <w:bottom w:val="none" w:sz="0" w:space="0" w:color="auto"/>
        <w:right w:val="none" w:sz="0" w:space="0" w:color="auto"/>
      </w:divBdr>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0850456">
      <w:bodyDiv w:val="1"/>
      <w:marLeft w:val="0"/>
      <w:marRight w:val="0"/>
      <w:marTop w:val="0"/>
      <w:marBottom w:val="0"/>
      <w:divBdr>
        <w:top w:val="none" w:sz="0" w:space="0" w:color="auto"/>
        <w:left w:val="none" w:sz="0" w:space="0" w:color="auto"/>
        <w:bottom w:val="none" w:sz="0" w:space="0" w:color="auto"/>
        <w:right w:val="none" w:sz="0" w:space="0" w:color="auto"/>
      </w:divBdr>
    </w:div>
    <w:div w:id="1847937800">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54956796">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611073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4.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5ACTRJNS4X5K-3-3453</_dlc_DocId>
    <_dlc_DocIdUrl xmlns="09bf1062-b00c-4aa1-ba18-87ca9e63a56e">
      <Url>https://projects.qualcomm.com/sites/espresso/_layouts/15/DocIdRedir.aspx?ID=5ACTRJNS4X5K-3-3453</Url>
      <Description>5ACTRJNS4X5K-3-3453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6434E7-065A-41E7-BEC3-FDF83E4C53B7}">
  <ds:schemaRefs>
    <ds:schemaRef ds:uri="office.server.policy"/>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5.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6.xml><?xml version="1.0" encoding="utf-8"?>
<ds:datastoreItem xmlns:ds="http://schemas.openxmlformats.org/officeDocument/2006/customXml" ds:itemID="{41E5583D-4D59-43F0-BD81-012BAB33535D}">
  <ds:schemaRefs>
    <ds:schemaRef ds:uri="http://schemas.openxmlformats.org/officeDocument/2006/bibliography"/>
  </ds:schemaRefs>
</ds:datastoreItem>
</file>

<file path=customXml/itemProps7.xml><?xml version="1.0" encoding="utf-8"?>
<ds:datastoreItem xmlns:ds="http://schemas.openxmlformats.org/officeDocument/2006/customXml" ds:itemID="{DDA35F4F-EDB5-48C9-8254-D0BC7E981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569</TotalTime>
  <Pages>3</Pages>
  <Words>782</Words>
  <Characters>4460</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Alberto Rico Alvarino</cp:lastModifiedBy>
  <cp:revision>19</cp:revision>
  <cp:lastPrinted>2010-08-13T21:54:00Z</cp:lastPrinted>
  <dcterms:created xsi:type="dcterms:W3CDTF">2017-04-28T00:02:00Z</dcterms:created>
  <dcterms:modified xsi:type="dcterms:W3CDTF">2017-08-12T00:29:00Z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1500184171</vt:i4>
  </property>
  <property fmtid="{D5CDD505-2E9C-101B-9397-08002B2CF9AE}" pid="3" name="_NewReviewCycle">
    <vt:lpwstr/>
  </property>
  <property fmtid="{D5CDD505-2E9C-101B-9397-08002B2CF9AE}" pid="4" name="_EmailSubject">
    <vt:lpwstr>SRS contributions</vt:lpwstr>
  </property>
  <property fmtid="{D5CDD505-2E9C-101B-9397-08002B2CF9AE}" pid="5" name="_AuthorEmail">
    <vt:lpwstr>albertor@qti.qualcomm.com</vt:lpwstr>
  </property>
  <property fmtid="{D5CDD505-2E9C-101B-9397-08002B2CF9AE}" pid="6" name="_AuthorEmailDisplayName">
    <vt:lpwstr>Rico Alvarino, Alberto</vt:lpwstr>
  </property>
  <property fmtid="{D5CDD505-2E9C-101B-9397-08002B2CF9AE}" pid="7" name="ContentTypeId">
    <vt:lpwstr>0x0101008A98423170284BEEB635F43C3CF4E98B008B3A1EAE7955594BB5B58FB10F3F7793</vt:lpwstr>
  </property>
  <property fmtid="{D5CDD505-2E9C-101B-9397-08002B2CF9AE}" pid="8" name="_dlc_DocIdItemGuid">
    <vt:lpwstr>1da647db-d108-4980-875b-9c60554d8921</vt:lpwstr>
  </property>
  <property fmtid="{D5CDD505-2E9C-101B-9397-08002B2CF9AE}" pid="9" name="_PreviousAdHocReviewCycleID">
    <vt:i4>-624271560</vt:i4>
  </property>
  <property fmtid="{D5CDD505-2E9C-101B-9397-08002B2CF9AE}" pid="10" name="_ReviewingToolsShownOnce">
    <vt:lpwstr/>
  </property>
</Properties>
</file>